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024075">
        <w:rPr>
          <w:rFonts w:eastAsia="宋体" w:hint="eastAsia"/>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00C20BC5" w:rsidRPr="00C20BC5">
        <w:rPr>
          <w:sz w:val="22"/>
          <w:szCs w:val="22"/>
          <w:lang w:val="en-GB"/>
        </w:rPr>
        <w:t>R2-19031</w:t>
      </w:r>
      <w:r w:rsidR="000753F3">
        <w:rPr>
          <w:sz w:val="22"/>
          <w:szCs w:val="22"/>
          <w:lang w:val="en-GB"/>
        </w:rPr>
        <w:t>50</w:t>
      </w:r>
    </w:p>
    <w:p w:rsidR="00401DBF" w:rsidRPr="00731C2C" w:rsidRDefault="00C41BF8" w:rsidP="00401DBF">
      <w:pPr>
        <w:pStyle w:val="a4"/>
        <w:rPr>
          <w:lang w:val="en-GB"/>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宋体" w:hint="eastAsia"/>
          <w:sz w:val="22"/>
          <w:szCs w:val="22"/>
          <w:lang w:val="en-GB" w:eastAsia="zh-CN"/>
        </w:rPr>
        <w:t>08</w:t>
      </w:r>
      <w:r w:rsidRPr="009A4783">
        <w:rPr>
          <w:sz w:val="22"/>
          <w:szCs w:val="22"/>
          <w:vertAlign w:val="superscript"/>
          <w:lang w:val="en-GB"/>
        </w:rPr>
        <w:t>th</w:t>
      </w:r>
      <w:r w:rsidRPr="00796045">
        <w:rPr>
          <w:rFonts w:eastAsia="宋体" w:hint="eastAsia"/>
          <w:sz w:val="22"/>
          <w:szCs w:val="22"/>
          <w:lang w:val="en-GB" w:eastAsia="zh-CN"/>
        </w:rPr>
        <w:t xml:space="preserve"> </w:t>
      </w:r>
      <w:r w:rsidR="00384DF0">
        <w:rPr>
          <w:rFonts w:eastAsia="宋体" w:hint="eastAsia"/>
          <w:sz w:val="22"/>
          <w:szCs w:val="22"/>
          <w:lang w:val="en-GB" w:eastAsia="zh-CN"/>
        </w:rPr>
        <w:t>-</w:t>
      </w:r>
      <w:r w:rsidRPr="007B33E4">
        <w:rPr>
          <w:sz w:val="22"/>
          <w:szCs w:val="22"/>
          <w:lang w:val="en-GB"/>
        </w:rPr>
        <w:t xml:space="preserve"> </w:t>
      </w:r>
      <w:r>
        <w:rPr>
          <w:rFonts w:eastAsia="宋体" w:hint="eastAsia"/>
          <w:sz w:val="22"/>
          <w:szCs w:val="22"/>
          <w:lang w:val="en-GB" w:eastAsia="zh-CN"/>
        </w:rPr>
        <w:t>12</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Apr</w:t>
      </w:r>
      <w:r w:rsidR="00384DF0">
        <w:rPr>
          <w:rFonts w:eastAsia="宋体" w:hint="eastAsia"/>
          <w:sz w:val="22"/>
          <w:szCs w:val="22"/>
          <w:lang w:val="en-GB" w:eastAsia="zh-CN"/>
        </w:rPr>
        <w:t>il</w:t>
      </w:r>
      <w:bookmarkStart w:id="0" w:name="_GoBack"/>
      <w:bookmarkEnd w:id="0"/>
      <w:r w:rsidRPr="007B33E4">
        <w:rPr>
          <w:sz w:val="22"/>
          <w:szCs w:val="22"/>
          <w:lang w:val="en-GB"/>
        </w:rPr>
        <w:t xml:space="preserve"> 201</w:t>
      </w:r>
      <w:r>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r w:rsidR="00AA6AF6">
        <w:rPr>
          <w:rFonts w:eastAsiaTheme="minorEastAsia"/>
          <w:sz w:val="22"/>
          <w:szCs w:val="22"/>
          <w:lang w:val="en-GB" w:eastAsia="zh-CN"/>
        </w:rPr>
        <w:t xml:space="preserve">                     </w:t>
      </w:r>
      <w:r w:rsidR="00AA6AF6" w:rsidRPr="00991CD2">
        <w:rPr>
          <w:rFonts w:eastAsiaTheme="minorEastAsia" w:hint="eastAsia"/>
          <w:i/>
          <w:sz w:val="22"/>
          <w:szCs w:val="22"/>
          <w:lang w:val="en-GB" w:eastAsia="zh-CN"/>
        </w:rPr>
        <w:t xml:space="preserve">Revision of </w:t>
      </w:r>
      <w:r w:rsidR="00AA6AF6" w:rsidRPr="00991CD2">
        <w:rPr>
          <w:i/>
          <w:sz w:val="22"/>
          <w:szCs w:val="22"/>
          <w:lang w:val="en-GB"/>
        </w:rPr>
        <w:t>R2-190015</w:t>
      </w:r>
      <w:r w:rsidR="000753F3">
        <w:rPr>
          <w:i/>
          <w:sz w:val="22"/>
          <w:szCs w:val="22"/>
          <w:lang w:val="en-GB"/>
        </w:rPr>
        <w:t>3</w:t>
      </w:r>
      <w:r w:rsidR="00D715F8">
        <w:rPr>
          <w:rFonts w:eastAsiaTheme="minorEastAsia" w:hint="eastAsia"/>
          <w:sz w:val="22"/>
          <w:szCs w:val="22"/>
          <w:lang w:val="en-GB" w:eastAsia="zh-CN"/>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024075" w:rsidRDefault="00E3725B" w:rsidP="00434542">
      <w:pPr>
        <w:pStyle w:val="a4"/>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753F3" w:rsidRPr="000753F3">
        <w:rPr>
          <w:rFonts w:eastAsiaTheme="minorEastAsia"/>
          <w:sz w:val="22"/>
          <w:lang w:eastAsia="zh-CN"/>
        </w:rPr>
        <w:t>Shorter SPS periodicities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401DBF">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C41BF8" w:rsidRDefault="00C41BF8" w:rsidP="00735AF5">
      <w:pPr>
        <w:pStyle w:val="a0"/>
        <w:rPr>
          <w:rFonts w:eastAsia="宋体"/>
          <w:lang w:eastAsia="zh-CN"/>
        </w:rPr>
      </w:pPr>
      <w:bookmarkStart w:id="5" w:name="OLE_LINK1"/>
      <w:bookmarkStart w:id="6" w:name="OLE_LINK2"/>
      <w:r>
        <w:rPr>
          <w:rFonts w:eastAsia="宋体" w:hint="eastAsia"/>
          <w:lang w:eastAsia="zh-CN"/>
        </w:rPr>
        <w:t xml:space="preserve">In RAN#83 meeting, </w:t>
      </w:r>
      <w:r w:rsidR="006F5066">
        <w:rPr>
          <w:rFonts w:eastAsia="宋体"/>
          <w:lang w:eastAsia="zh-CN"/>
        </w:rPr>
        <w:t xml:space="preserve">a </w:t>
      </w:r>
      <w:r w:rsidR="007C4E79">
        <w:rPr>
          <w:rFonts w:eastAsia="宋体" w:hint="eastAsia"/>
          <w:lang w:eastAsia="zh-CN"/>
        </w:rPr>
        <w:t xml:space="preserve">WID </w:t>
      </w:r>
      <w:r w:rsidR="006F5066">
        <w:rPr>
          <w:rFonts w:eastAsia="宋体"/>
          <w:lang w:eastAsia="zh-CN"/>
        </w:rPr>
        <w:t xml:space="preserve">for </w:t>
      </w:r>
      <w:proofErr w:type="spellStart"/>
      <w:r w:rsidR="006F5066">
        <w:rPr>
          <w:rFonts w:eastAsia="宋体"/>
          <w:lang w:eastAsia="zh-CN"/>
        </w:rPr>
        <w:t>I</w:t>
      </w:r>
      <w:r w:rsidR="007C4E79" w:rsidRPr="005A3797">
        <w:t>IoT</w:t>
      </w:r>
      <w:proofErr w:type="spellEnd"/>
      <w:r w:rsidR="007C4E79">
        <w:rPr>
          <w:rFonts w:eastAsia="宋体" w:hint="eastAsia"/>
          <w:lang w:eastAsia="zh-CN"/>
        </w:rPr>
        <w:t xml:space="preserve"> was agreed </w:t>
      </w:r>
      <w:r w:rsidR="00C72F87">
        <w:rPr>
          <w:rFonts w:eastAsia="宋体"/>
          <w:lang w:eastAsia="zh-CN"/>
        </w:rPr>
        <w:fldChar w:fldCharType="begin"/>
      </w:r>
      <w:r w:rsidR="00C72F87">
        <w:rPr>
          <w:rFonts w:eastAsia="宋体"/>
          <w:lang w:eastAsia="zh-CN"/>
        </w:rPr>
        <w:instrText xml:space="preserve"> </w:instrText>
      </w:r>
      <w:r w:rsidR="00C72F87">
        <w:rPr>
          <w:rFonts w:eastAsia="宋体" w:hint="eastAsia"/>
          <w:lang w:eastAsia="zh-CN"/>
        </w:rPr>
        <w:instrText>REF _Ref3879359 \r \h</w:instrText>
      </w:r>
      <w:r w:rsidR="00C72F87">
        <w:rPr>
          <w:rFonts w:eastAsia="宋体"/>
          <w:lang w:eastAsia="zh-CN"/>
        </w:rPr>
        <w:instrText xml:space="preserve"> </w:instrText>
      </w:r>
      <w:r w:rsidR="00C72F87">
        <w:rPr>
          <w:rFonts w:eastAsia="宋体"/>
          <w:lang w:eastAsia="zh-CN"/>
        </w:rPr>
      </w:r>
      <w:r w:rsidR="00C72F87">
        <w:rPr>
          <w:rFonts w:eastAsia="宋体"/>
          <w:lang w:eastAsia="zh-CN"/>
        </w:rPr>
        <w:fldChar w:fldCharType="separate"/>
      </w:r>
      <w:r w:rsidR="00C72F87">
        <w:rPr>
          <w:rFonts w:eastAsia="宋体"/>
          <w:lang w:eastAsia="zh-CN"/>
        </w:rPr>
        <w:t>[1]</w:t>
      </w:r>
      <w:r w:rsidR="00C72F87">
        <w:rPr>
          <w:rFonts w:eastAsia="宋体"/>
          <w:lang w:eastAsia="zh-CN"/>
        </w:rPr>
        <w:fldChar w:fldCharType="end"/>
      </w:r>
      <w:r w:rsidR="006F5066">
        <w:rPr>
          <w:rFonts w:eastAsia="宋体"/>
          <w:lang w:eastAsia="zh-CN"/>
        </w:rPr>
        <w:t>,</w:t>
      </w:r>
      <w:r>
        <w:rPr>
          <w:rFonts w:eastAsia="宋体" w:hint="eastAsia"/>
          <w:lang w:eastAsia="zh-CN"/>
        </w:rPr>
        <w:t xml:space="preserve"> </w:t>
      </w:r>
      <w:r w:rsidR="006F5066">
        <w:rPr>
          <w:rFonts w:eastAsia="宋体"/>
          <w:lang w:eastAsia="zh-CN"/>
        </w:rPr>
        <w:t>a</w:t>
      </w:r>
      <w:r>
        <w:rPr>
          <w:rFonts w:eastAsia="宋体" w:hint="eastAsia"/>
          <w:lang w:eastAsia="zh-CN"/>
        </w:rPr>
        <w:t xml:space="preserve">nd one of the </w:t>
      </w:r>
      <w:r>
        <w:rPr>
          <w:rFonts w:eastAsia="宋体"/>
          <w:lang w:eastAsia="zh-CN"/>
        </w:rPr>
        <w:t>objective</w:t>
      </w:r>
      <w:r>
        <w:rPr>
          <w:rFonts w:eastAsia="宋体" w:hint="eastAsia"/>
          <w:lang w:eastAsia="zh-CN"/>
        </w:rPr>
        <w:t>s is</w:t>
      </w:r>
    </w:p>
    <w:p w:rsidR="000C77D2" w:rsidRPr="000C77D2" w:rsidRDefault="00C41BF8" w:rsidP="000C77D2">
      <w:pPr>
        <w:pStyle w:val="a0"/>
        <w:rPr>
          <w:rFonts w:eastAsia="宋体"/>
          <w:lang w:eastAsia="zh-CN"/>
        </w:rPr>
      </w:pPr>
      <w:r>
        <w:rPr>
          <w:rFonts w:eastAsia="宋体" w:hint="eastAsia"/>
          <w:lang w:eastAsia="zh-CN"/>
        </w:rPr>
        <w:t>----------------------------------------------------------------------------------------------------------------------------</w:t>
      </w:r>
    </w:p>
    <w:p w:rsidR="000C77D2" w:rsidRDefault="000C77D2" w:rsidP="000C77D2">
      <w:pPr>
        <w:overflowPunct w:val="0"/>
        <w:autoSpaceDE w:val="0"/>
        <w:autoSpaceDN w:val="0"/>
        <w:adjustRightInd w:val="0"/>
        <w:jc w:val="both"/>
        <w:textAlignment w:val="baseline"/>
        <w:rPr>
          <w:bCs/>
        </w:rPr>
      </w:pPr>
      <w:r>
        <w:rPr>
          <w:rFonts w:eastAsiaTheme="minorEastAsia" w:hint="eastAsia"/>
          <w:bCs/>
          <w:lang w:eastAsia="zh-CN"/>
        </w:rPr>
        <w:t xml:space="preserve">3. </w:t>
      </w:r>
      <w:r>
        <w:rPr>
          <w:bCs/>
        </w:rPr>
        <w:t>The detailed objectives for NR TSC-related enhancements include:</w:t>
      </w:r>
    </w:p>
    <w:p w:rsidR="000C77D2" w:rsidRDefault="000C77D2" w:rsidP="000C77D2">
      <w:pPr>
        <w:numPr>
          <w:ilvl w:val="0"/>
          <w:numId w:val="16"/>
        </w:numPr>
        <w:overflowPunct w:val="0"/>
        <w:autoSpaceDE w:val="0"/>
        <w:autoSpaceDN w:val="0"/>
        <w:adjustRightInd w:val="0"/>
        <w:jc w:val="both"/>
        <w:textAlignment w:val="baseline"/>
      </w:pPr>
      <w:r>
        <w:t xml:space="preserve">Specify accurate reference timing delivery from </w:t>
      </w:r>
      <w:proofErr w:type="spellStart"/>
      <w:r>
        <w:t>gNB</w:t>
      </w:r>
      <w:proofErr w:type="spellEnd"/>
      <w:r>
        <w:t xml:space="preserve"> to UE using broadcast and unicast RRC </w:t>
      </w:r>
      <w:proofErr w:type="spellStart"/>
      <w:r>
        <w:t>signalling</w:t>
      </w:r>
      <w:proofErr w:type="spellEnd"/>
      <w:r>
        <w:t xml:space="preserve"> </w:t>
      </w:r>
      <w:r w:rsidRPr="007512F9">
        <w:t xml:space="preserve">(with EUTRA Rel-15 </w:t>
      </w:r>
      <w:proofErr w:type="spellStart"/>
      <w:r w:rsidRPr="007512F9">
        <w:t>signalling</w:t>
      </w:r>
      <w:proofErr w:type="spellEnd"/>
      <w:r w:rsidRPr="007512F9">
        <w:t xml:space="preserve"> solution as baseline) for synchronization requirements defined in TS 22.104)</w:t>
      </w:r>
      <w:r>
        <w:t xml:space="preserve"> [RAN2].</w:t>
      </w:r>
    </w:p>
    <w:p w:rsidR="000C77D2" w:rsidRDefault="000C77D2" w:rsidP="000C77D2">
      <w:pPr>
        <w:numPr>
          <w:ilvl w:val="0"/>
          <w:numId w:val="16"/>
        </w:numPr>
        <w:overflowPunct w:val="0"/>
        <w:autoSpaceDE w:val="0"/>
        <w:autoSpaceDN w:val="0"/>
        <w:adjustRightInd w:val="0"/>
        <w:jc w:val="both"/>
        <w:textAlignment w:val="baseline"/>
      </w:pPr>
      <w:r w:rsidRPr="003804B4">
        <w:t xml:space="preserve">Specify enhancements to satisfy </w:t>
      </w:r>
      <w:proofErr w:type="spellStart"/>
      <w:r w:rsidRPr="003804B4">
        <w:t>QoS</w:t>
      </w:r>
      <w:proofErr w:type="spellEnd"/>
      <w:r w:rsidRPr="003804B4">
        <w:t xml:space="preserve"> for wireless Ethernet when using TS</w:t>
      </w:r>
      <w:r>
        <w:t>C</w:t>
      </w:r>
      <w:r w:rsidRPr="003804B4">
        <w:t xml:space="preserve"> traffic patterns</w:t>
      </w:r>
      <w:r>
        <w:t xml:space="preserve">, including </w:t>
      </w:r>
    </w:p>
    <w:p w:rsidR="000C77D2" w:rsidRDefault="000C77D2" w:rsidP="000C77D2">
      <w:pPr>
        <w:numPr>
          <w:ilvl w:val="1"/>
          <w:numId w:val="16"/>
        </w:numPr>
        <w:overflowPunct w:val="0"/>
        <w:autoSpaceDE w:val="0"/>
        <w:autoSpaceDN w:val="0"/>
        <w:adjustRightInd w:val="0"/>
        <w:jc w:val="both"/>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w:t>
      </w:r>
      <w:proofErr w:type="spellStart"/>
      <w:r>
        <w:t>gNB</w:t>
      </w:r>
      <w:proofErr w:type="spellEnd"/>
      <w:r>
        <w:t xml:space="preserve"> (DL) and UE (UL) [RAN3].</w:t>
      </w:r>
    </w:p>
    <w:p w:rsidR="000C77D2" w:rsidRPr="000753F3" w:rsidRDefault="000C77D2" w:rsidP="000C77D2">
      <w:pPr>
        <w:numPr>
          <w:ilvl w:val="1"/>
          <w:numId w:val="16"/>
        </w:numPr>
        <w:overflowPunct w:val="0"/>
        <w:autoSpaceDE w:val="0"/>
        <w:autoSpaceDN w:val="0"/>
        <w:adjustRightInd w:val="0"/>
        <w:jc w:val="both"/>
        <w:textAlignment w:val="baseline"/>
      </w:pPr>
      <w:r w:rsidRPr="000753F3">
        <w:t>Support for multiple simultaneous active semi-persistent scheduling (SPS) configurations for a given BWP of a UE. [RAN2, RAN1].</w:t>
      </w:r>
    </w:p>
    <w:p w:rsidR="000C77D2" w:rsidRPr="000753F3" w:rsidRDefault="000C77D2" w:rsidP="000C77D2">
      <w:pPr>
        <w:numPr>
          <w:ilvl w:val="1"/>
          <w:numId w:val="16"/>
        </w:numPr>
        <w:overflowPunct w:val="0"/>
        <w:autoSpaceDE w:val="0"/>
        <w:autoSpaceDN w:val="0"/>
        <w:adjustRightInd w:val="0"/>
        <w:jc w:val="both"/>
        <w:textAlignment w:val="baseline"/>
        <w:rPr>
          <w:highlight w:val="yellow"/>
        </w:rPr>
      </w:pPr>
      <w:r w:rsidRPr="000753F3">
        <w:rPr>
          <w:highlight w:val="yellow"/>
        </w:rPr>
        <w:t>Support for shorter SPS periodicities than the existing ones [RAN2, RAN1].</w:t>
      </w:r>
    </w:p>
    <w:p w:rsidR="000C77D2" w:rsidRPr="003804B4" w:rsidRDefault="000C77D2" w:rsidP="000C77D2">
      <w:pPr>
        <w:numPr>
          <w:ilvl w:val="0"/>
          <w:numId w:val="16"/>
        </w:numPr>
        <w:overflowPunct w:val="0"/>
        <w:autoSpaceDE w:val="0"/>
        <w:autoSpaceDN w:val="0"/>
        <w:adjustRightInd w:val="0"/>
        <w:jc w:val="both"/>
        <w:textAlignment w:val="baseline"/>
      </w:pPr>
      <w:r>
        <w:t>Address support for TSC message periodicities with non-integer multiple of NR supported CG/SPS periodicities, as captured in TR 38.825, section 6.5.2. [RAN2, RAN1].</w:t>
      </w:r>
    </w:p>
    <w:p w:rsidR="000C77D2" w:rsidRPr="007512F9" w:rsidRDefault="000C77D2" w:rsidP="000C77D2">
      <w:pPr>
        <w:numPr>
          <w:ilvl w:val="0"/>
          <w:numId w:val="16"/>
        </w:numPr>
        <w:overflowPunct w:val="0"/>
        <w:autoSpaceDE w:val="0"/>
        <w:autoSpaceDN w:val="0"/>
        <w:adjustRightInd w:val="0"/>
        <w:jc w:val="both"/>
        <w:textAlignment w:val="baseline"/>
      </w:pPr>
      <w:r>
        <w:t>Specify Ethernet header compression based on structure-aware</w:t>
      </w:r>
      <w:r w:rsidRPr="003804B4">
        <w:t xml:space="preserve"> algorithm</w:t>
      </w:r>
      <w:r>
        <w:t xml:space="preserve"> [RAN2].</w:t>
      </w:r>
    </w:p>
    <w:p w:rsidR="000C77D2" w:rsidRPr="003804B4" w:rsidRDefault="000C77D2" w:rsidP="000C77D2">
      <w:pPr>
        <w:numPr>
          <w:ilvl w:val="1"/>
          <w:numId w:val="16"/>
        </w:numPr>
        <w:overflowPunct w:val="0"/>
        <w:autoSpaceDE w:val="0"/>
        <w:autoSpaceDN w:val="0"/>
        <w:adjustRightInd w:val="0"/>
        <w:jc w:val="both"/>
        <w:textAlignment w:val="baseline"/>
      </w:pPr>
      <w:r>
        <w:t>Ethernet header compression solution for LTE to be specified once the design principle for NR is agreed. The impacted LTE specifications to be added latest at RAN#85.</w:t>
      </w:r>
    </w:p>
    <w:p w:rsidR="00C41BF8" w:rsidRDefault="00C41BF8" w:rsidP="00C41BF8">
      <w:pPr>
        <w:pStyle w:val="a0"/>
        <w:rPr>
          <w:rFonts w:eastAsia="宋体"/>
          <w:lang w:eastAsia="zh-CN"/>
        </w:rPr>
      </w:pPr>
      <w:r>
        <w:rPr>
          <w:rFonts w:eastAsia="宋体" w:hint="eastAsia"/>
          <w:lang w:eastAsia="zh-CN"/>
        </w:rPr>
        <w:t>----------------------------------------------------------------------------------------------------------------------------</w:t>
      </w:r>
    </w:p>
    <w:p w:rsidR="00FB6BC0" w:rsidRDefault="00EA527E" w:rsidP="00EA527E">
      <w:pPr>
        <w:pStyle w:val="a0"/>
        <w:rPr>
          <w:rFonts w:eastAsiaTheme="minorEastAsia"/>
          <w:lang w:eastAsia="zh-CN"/>
        </w:rPr>
      </w:pPr>
      <w:r>
        <w:rPr>
          <w:rFonts w:eastAsiaTheme="minorEastAsia"/>
          <w:lang w:eastAsia="zh-CN"/>
        </w:rPr>
        <w:t xml:space="preserve">We address </w:t>
      </w:r>
      <w:r w:rsidR="000753F3">
        <w:rPr>
          <w:rFonts w:eastAsiaTheme="minorEastAsia"/>
          <w:lang w:eastAsia="zh-CN"/>
        </w:rPr>
        <w:t xml:space="preserve">the </w:t>
      </w:r>
      <w:r>
        <w:rPr>
          <w:rFonts w:eastAsiaTheme="minorEastAsia"/>
          <w:lang w:eastAsia="zh-CN"/>
        </w:rPr>
        <w:t xml:space="preserve">issues </w:t>
      </w:r>
      <w:r w:rsidR="000753F3">
        <w:rPr>
          <w:rFonts w:eastAsiaTheme="minorEastAsia"/>
          <w:lang w:eastAsia="zh-CN"/>
        </w:rPr>
        <w:t xml:space="preserve">of shorter SPS periodicities (altogether with finer granularity periodicities of configured grants) </w:t>
      </w:r>
      <w:r>
        <w:rPr>
          <w:rFonts w:eastAsiaTheme="minorEastAsia"/>
          <w:lang w:eastAsia="zh-CN"/>
        </w:rPr>
        <w:t xml:space="preserve">in this contribution. </w:t>
      </w:r>
    </w:p>
    <w:bookmarkEnd w:id="5"/>
    <w:bookmarkEnd w:id="6"/>
    <w:p w:rsidR="00E3725B" w:rsidRDefault="00E3725B" w:rsidP="00E3725B">
      <w:pPr>
        <w:pStyle w:val="1"/>
        <w:jc w:val="both"/>
      </w:pPr>
      <w:r w:rsidRPr="00AA54B6">
        <w:rPr>
          <w:rFonts w:hint="eastAsia"/>
        </w:rPr>
        <w:t>Discussion</w:t>
      </w:r>
    </w:p>
    <w:p w:rsidR="000753F3" w:rsidRDefault="000753F3" w:rsidP="000753F3">
      <w:pPr>
        <w:pStyle w:val="a0"/>
        <w:rPr>
          <w:lang w:val="en-GB" w:eastAsia="zh-CN"/>
        </w:rPr>
      </w:pPr>
      <w:r w:rsidRPr="0054325E">
        <w:rPr>
          <w:lang w:val="en-GB" w:eastAsia="zh-CN"/>
        </w:rPr>
        <w:t xml:space="preserve">In TSN networks, the UE is no longer the termination point of a network but can be the entry point of a TSN link. Therefore the traffic is expected to be quite symmetrical in both directions of the bridge, hence in UL and DL. Hence SPS configuration should provide the same flexibility/granularity as </w:t>
      </w:r>
      <w:r>
        <w:rPr>
          <w:lang w:val="en-GB" w:eastAsia="zh-CN"/>
        </w:rPr>
        <w:t>configured grants (</w:t>
      </w:r>
      <w:r w:rsidRPr="0054325E">
        <w:rPr>
          <w:lang w:val="en-GB" w:eastAsia="zh-CN"/>
        </w:rPr>
        <w:t>CG</w:t>
      </w:r>
      <w:r>
        <w:rPr>
          <w:lang w:val="en-GB" w:eastAsia="zh-CN"/>
        </w:rPr>
        <w:t>)</w:t>
      </w:r>
      <w:r w:rsidRPr="0054325E">
        <w:rPr>
          <w:lang w:val="en-GB" w:eastAsia="zh-CN"/>
        </w:rPr>
        <w:t xml:space="preserve"> configuration</w:t>
      </w:r>
      <w:r>
        <w:rPr>
          <w:lang w:val="en-GB" w:eastAsia="zh-CN"/>
        </w:rPr>
        <w:t>s</w:t>
      </w:r>
      <w:r w:rsidRPr="0054325E">
        <w:rPr>
          <w:lang w:val="en-GB" w:eastAsia="zh-CN"/>
        </w:rPr>
        <w:t xml:space="preserve"> to address TSN streams in the same way while saving PDCCH resources.</w:t>
      </w:r>
      <w:r>
        <w:rPr>
          <w:lang w:val="en-GB" w:eastAsia="zh-CN"/>
        </w:rPr>
        <w:t xml:space="preserve"> As a result we propose addressing commonly the SPS and CG periodicity upgrade in Rel-16.</w:t>
      </w:r>
    </w:p>
    <w:p w:rsidR="000753F3" w:rsidRDefault="000753F3" w:rsidP="000753F3">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w:t>
      </w:r>
      <w:r>
        <w:rPr>
          <w:rFonts w:eastAsiaTheme="minorEastAsia"/>
          <w:b/>
          <w:lang w:eastAsia="zh-CN"/>
        </w:rPr>
        <w:t>SPS</w:t>
      </w:r>
      <w:r w:rsidRPr="0054325E">
        <w:rPr>
          <w:rFonts w:eastAsiaTheme="minorEastAsia"/>
          <w:b/>
          <w:lang w:eastAsia="zh-CN"/>
        </w:rPr>
        <w:t xml:space="preserve"> </w:t>
      </w:r>
      <w:r>
        <w:rPr>
          <w:rFonts w:eastAsiaTheme="minorEastAsia"/>
          <w:b/>
          <w:lang w:eastAsia="zh-CN"/>
        </w:rPr>
        <w:t>and CG periodicities are identically upgraded in Rel-16.</w:t>
      </w:r>
    </w:p>
    <w:p w:rsidR="000753F3" w:rsidRPr="006B7561" w:rsidRDefault="000753F3" w:rsidP="000753F3">
      <w:pPr>
        <w:pStyle w:val="a0"/>
        <w:rPr>
          <w:b/>
          <w:lang w:val="en-GB"/>
        </w:rPr>
      </w:pPr>
      <w:r>
        <w:rPr>
          <w:lang w:val="en-GB" w:eastAsia="zh-CN"/>
        </w:rPr>
        <w:t>In the rest of the document we treat commonly SPS and CG periodicities.</w:t>
      </w:r>
    </w:p>
    <w:p w:rsidR="000753F3" w:rsidRDefault="000753F3" w:rsidP="000753F3">
      <w:pPr>
        <w:pStyle w:val="a0"/>
        <w:rPr>
          <w:lang w:eastAsia="zh-CN"/>
        </w:rPr>
      </w:pPr>
      <w:r>
        <w:rPr>
          <w:lang w:eastAsia="zh-CN"/>
        </w:rPr>
        <w:t xml:space="preserve">Given we support upgrading Rel-15 SPS </w:t>
      </w:r>
      <w:r>
        <w:rPr>
          <w:lang w:val="en-GB" w:eastAsia="zh-CN"/>
        </w:rPr>
        <w:t>periodicities</w:t>
      </w:r>
      <w:r>
        <w:rPr>
          <w:lang w:eastAsia="zh-CN"/>
        </w:rPr>
        <w:t xml:space="preserve"> to the same flexibility as configured grants, we take the CG periodicities as a starting point in this contribution, provided it should equally apply to SPS.</w:t>
      </w:r>
    </w:p>
    <w:p w:rsidR="00F42FC5" w:rsidRDefault="000753F3" w:rsidP="000753F3">
      <w:pPr>
        <w:pStyle w:val="a0"/>
        <w:rPr>
          <w:lang w:eastAsia="zh-CN"/>
        </w:rPr>
      </w:pPr>
      <w:r w:rsidRPr="00045108">
        <w:rPr>
          <w:lang w:eastAsia="zh-CN"/>
        </w:rPr>
        <w:t xml:space="preserve">Rel-15 periodicity is defined </w:t>
      </w:r>
      <w:r w:rsidR="00F42FC5">
        <w:rPr>
          <w:lang w:eastAsia="zh-CN"/>
        </w:rPr>
        <w:t xml:space="preserve">in 38.331 </w:t>
      </w:r>
      <w:r w:rsidR="00C72F87">
        <w:rPr>
          <w:lang w:eastAsia="zh-CN"/>
        </w:rPr>
        <w:fldChar w:fldCharType="begin"/>
      </w:r>
      <w:r w:rsidR="00C72F87">
        <w:rPr>
          <w:lang w:eastAsia="zh-CN"/>
        </w:rPr>
        <w:instrText xml:space="preserve"> REF _Ref4691031 \r \h </w:instrText>
      </w:r>
      <w:r w:rsidR="00C72F87">
        <w:rPr>
          <w:lang w:eastAsia="zh-CN"/>
        </w:rPr>
      </w:r>
      <w:r w:rsidR="00C72F87">
        <w:rPr>
          <w:lang w:eastAsia="zh-CN"/>
        </w:rPr>
        <w:fldChar w:fldCharType="separate"/>
      </w:r>
      <w:r w:rsidR="00C72F87">
        <w:rPr>
          <w:lang w:eastAsia="zh-CN"/>
        </w:rPr>
        <w:t>[2]</w:t>
      </w:r>
      <w:r w:rsidR="00C72F87">
        <w:rPr>
          <w:lang w:eastAsia="zh-CN"/>
        </w:rPr>
        <w:fldChar w:fldCharType="end"/>
      </w:r>
      <w:r w:rsidR="00F42FC5">
        <w:rPr>
          <w:lang w:eastAsia="zh-CN"/>
        </w:rPr>
        <w:t xml:space="preserve"> </w:t>
      </w:r>
      <w:r w:rsidRPr="00045108">
        <w:rPr>
          <w:lang w:eastAsia="zh-CN"/>
        </w:rPr>
        <w:t xml:space="preserve">as </w:t>
      </w:r>
      <w:r w:rsidR="00F42FC5">
        <w:rPr>
          <w:lang w:eastAsia="zh-CN"/>
        </w:rPr>
        <w:t>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42FC5" w:rsidRPr="00F42FC5" w:rsidTr="00F42FC5">
        <w:tc>
          <w:tcPr>
            <w:tcW w:w="5000" w:type="pct"/>
            <w:tcBorders>
              <w:top w:val="single" w:sz="4" w:space="0" w:color="auto"/>
              <w:left w:val="single" w:sz="4" w:space="0" w:color="auto"/>
              <w:bottom w:val="single" w:sz="4" w:space="0" w:color="auto"/>
              <w:right w:val="single" w:sz="4" w:space="0" w:color="auto"/>
            </w:tcBorders>
            <w:hideMark/>
          </w:tcPr>
          <w:p w:rsidR="00F42FC5" w:rsidRPr="00F42FC5" w:rsidRDefault="00F42FC5" w:rsidP="004F60B6">
            <w:pPr>
              <w:pStyle w:val="TAL"/>
              <w:rPr>
                <w:sz w:val="14"/>
                <w:szCs w:val="22"/>
              </w:rPr>
            </w:pPr>
            <w:r w:rsidRPr="00F42FC5">
              <w:rPr>
                <w:b/>
                <w:i/>
                <w:sz w:val="14"/>
                <w:szCs w:val="22"/>
              </w:rPr>
              <w:lastRenderedPageBreak/>
              <w:t>periodicity</w:t>
            </w:r>
          </w:p>
          <w:p w:rsidR="00F42FC5" w:rsidRPr="00F42FC5" w:rsidRDefault="00F42FC5" w:rsidP="004F60B6">
            <w:pPr>
              <w:pStyle w:val="TAL"/>
              <w:rPr>
                <w:sz w:val="14"/>
                <w:szCs w:val="22"/>
              </w:rPr>
            </w:pPr>
            <w:r w:rsidRPr="00F42FC5">
              <w:rPr>
                <w:sz w:val="14"/>
                <w:szCs w:val="22"/>
              </w:rPr>
              <w:t>Periodicity for UL transmission without UL grant for type 1 and type 2 (see TS 38.321 [3], clause 5.8.2).</w:t>
            </w:r>
          </w:p>
          <w:p w:rsidR="00F42FC5" w:rsidRPr="00F42FC5" w:rsidRDefault="00F42FC5" w:rsidP="004F60B6">
            <w:pPr>
              <w:pStyle w:val="TAL"/>
              <w:rPr>
                <w:sz w:val="14"/>
                <w:szCs w:val="22"/>
              </w:rPr>
            </w:pPr>
            <w:r w:rsidRPr="00F42FC5">
              <w:rPr>
                <w:sz w:val="14"/>
                <w:szCs w:val="22"/>
              </w:rPr>
              <w:t>The following periodicities are supported depending on the configured subcarrier spacing [symbols]:</w:t>
            </w:r>
          </w:p>
          <w:p w:rsidR="00F42FC5" w:rsidRPr="00F42FC5" w:rsidRDefault="00F42FC5" w:rsidP="004F60B6">
            <w:pPr>
              <w:pStyle w:val="TAL"/>
              <w:rPr>
                <w:sz w:val="14"/>
                <w:szCs w:val="22"/>
              </w:rPr>
            </w:pPr>
            <w:r w:rsidRPr="00F42FC5">
              <w:rPr>
                <w:sz w:val="14"/>
                <w:szCs w:val="22"/>
              </w:rPr>
              <w:t xml:space="preserve">15kHz: </w:t>
            </w:r>
            <w:r w:rsidRPr="00F42FC5">
              <w:rPr>
                <w:sz w:val="14"/>
                <w:szCs w:val="22"/>
              </w:rPr>
              <w:tab/>
            </w:r>
            <w:r w:rsidRPr="00F42FC5">
              <w:rPr>
                <w:sz w:val="14"/>
                <w:szCs w:val="22"/>
              </w:rPr>
              <w:tab/>
            </w:r>
            <w:r>
              <w:rPr>
                <w:sz w:val="14"/>
                <w:szCs w:val="22"/>
              </w:rPr>
              <w:t xml:space="preserve"> </w:t>
            </w:r>
            <w:r w:rsidRPr="00F42FC5">
              <w:rPr>
                <w:sz w:val="14"/>
                <w:szCs w:val="22"/>
              </w:rPr>
              <w:t>2, 7, n*14, where n={1, 2, 4, 5, 8, 10, 16, 20, 32, 40, 64, 80, 128, 160, 320, 640}</w:t>
            </w:r>
          </w:p>
          <w:p w:rsidR="00F42FC5" w:rsidRPr="00F42FC5" w:rsidRDefault="00F42FC5" w:rsidP="004F60B6">
            <w:pPr>
              <w:pStyle w:val="TAL"/>
              <w:rPr>
                <w:sz w:val="14"/>
                <w:szCs w:val="22"/>
              </w:rPr>
            </w:pPr>
            <w:r>
              <w:rPr>
                <w:sz w:val="14"/>
                <w:szCs w:val="22"/>
              </w:rPr>
              <w:t xml:space="preserve">30kHz: </w:t>
            </w:r>
            <w:r>
              <w:rPr>
                <w:sz w:val="14"/>
                <w:szCs w:val="22"/>
              </w:rPr>
              <w:tab/>
            </w:r>
            <w:r>
              <w:rPr>
                <w:sz w:val="14"/>
                <w:szCs w:val="22"/>
              </w:rPr>
              <w:tab/>
              <w:t xml:space="preserve"> </w:t>
            </w:r>
            <w:r w:rsidRPr="00F42FC5">
              <w:rPr>
                <w:sz w:val="14"/>
                <w:szCs w:val="22"/>
              </w:rPr>
              <w:t>2, 7, n*14, where n={1, 2, 4, 5, 8, 10, 16, 20, 32, 40, 64, 80, 128, 160, 256, 320, 640, 1280}</w:t>
            </w:r>
          </w:p>
          <w:p w:rsidR="00F42FC5" w:rsidRPr="00F42FC5" w:rsidRDefault="00F42FC5" w:rsidP="004F60B6">
            <w:pPr>
              <w:pStyle w:val="TAL"/>
              <w:rPr>
                <w:sz w:val="14"/>
                <w:szCs w:val="22"/>
              </w:rPr>
            </w:pPr>
            <w:r w:rsidRPr="00F42FC5">
              <w:rPr>
                <w:sz w:val="14"/>
                <w:szCs w:val="22"/>
              </w:rPr>
              <w:t>60kHz with normal CP: 2, 7, n*14, where n={1, 2, 4, 5, 8, 10, 16, 20, 32, 40, 64, 80, 128, 160, 256, 320, 512, 640, 1280, 2560}</w:t>
            </w:r>
          </w:p>
          <w:p w:rsidR="00F42FC5" w:rsidRPr="00F42FC5" w:rsidRDefault="00F42FC5" w:rsidP="004F60B6">
            <w:pPr>
              <w:pStyle w:val="TAL"/>
              <w:rPr>
                <w:sz w:val="14"/>
                <w:szCs w:val="22"/>
              </w:rPr>
            </w:pPr>
            <w:r w:rsidRPr="00F42FC5">
              <w:rPr>
                <w:sz w:val="14"/>
                <w:szCs w:val="22"/>
              </w:rPr>
              <w:t xml:space="preserve">60kHz with ECP: </w:t>
            </w:r>
            <w:r w:rsidRPr="00F42FC5">
              <w:rPr>
                <w:sz w:val="14"/>
                <w:szCs w:val="22"/>
              </w:rPr>
              <w:tab/>
              <w:t xml:space="preserve"> 2, 6, n*12, where n={1, 2, 4, 5, 8, 10, 16, 20, 32, 40, 64, 80, 128, 160, 256, 320, 512, 640, 1280, 2560}</w:t>
            </w:r>
          </w:p>
          <w:p w:rsidR="00F42FC5" w:rsidRPr="00F42FC5" w:rsidRDefault="00F42FC5" w:rsidP="004F60B6">
            <w:pPr>
              <w:pStyle w:val="TAL"/>
              <w:rPr>
                <w:sz w:val="14"/>
                <w:szCs w:val="22"/>
              </w:rPr>
            </w:pPr>
            <w:r w:rsidRPr="00F42FC5">
              <w:rPr>
                <w:sz w:val="14"/>
                <w:szCs w:val="22"/>
              </w:rPr>
              <w:t xml:space="preserve">120kHz: </w:t>
            </w:r>
            <w:r w:rsidRPr="00F42FC5">
              <w:rPr>
                <w:sz w:val="14"/>
                <w:szCs w:val="22"/>
              </w:rPr>
              <w:tab/>
            </w:r>
            <w:r w:rsidRPr="00F42FC5">
              <w:rPr>
                <w:sz w:val="14"/>
                <w:szCs w:val="22"/>
              </w:rPr>
              <w:tab/>
              <w:t xml:space="preserve"> 2, 7, n*14, where n={1, 2, 4, 5, 8, 10, 16, 20, 32, 40, 64, 80, 128, 160, 256, 320, 512, 640, 1024, 1280, 2560, 5120}</w:t>
            </w:r>
          </w:p>
        </w:tc>
      </w:tr>
    </w:tbl>
    <w:p w:rsidR="00F42FC5" w:rsidRDefault="00F42FC5" w:rsidP="000753F3">
      <w:pPr>
        <w:pStyle w:val="a0"/>
        <w:rPr>
          <w:lang w:eastAsia="zh-CN"/>
        </w:rPr>
      </w:pPr>
    </w:p>
    <w:p w:rsidR="000753F3" w:rsidRPr="006D5573" w:rsidRDefault="00A5720B" w:rsidP="000753F3">
      <w:pPr>
        <w:pStyle w:val="a0"/>
        <w:rPr>
          <w:lang w:eastAsia="zh-CN"/>
        </w:rPr>
      </w:pPr>
      <w:r>
        <w:rPr>
          <w:lang w:val="en-GB" w:eastAsia="zh-CN"/>
        </w:rPr>
        <w:t xml:space="preserve">The approach of </w:t>
      </w:r>
      <w:r w:rsidR="000753F3" w:rsidRPr="00045108">
        <w:rPr>
          <w:lang w:val="en-GB" w:eastAsia="zh-CN"/>
        </w:rPr>
        <w:t xml:space="preserve">2, 7, </w:t>
      </w:r>
      <w:r w:rsidR="000753F3" w:rsidRPr="00F42FC5">
        <w:rPr>
          <w:i/>
          <w:lang w:val="en-GB" w:eastAsia="zh-CN"/>
        </w:rPr>
        <w:t>n</w:t>
      </w:r>
      <w:r w:rsidR="000753F3" w:rsidRPr="00045108">
        <w:rPr>
          <w:lang w:val="en-GB" w:eastAsia="zh-CN"/>
        </w:rPr>
        <w:t>*</w:t>
      </w:r>
      <w:r w:rsidR="000753F3">
        <w:rPr>
          <w:lang w:val="en-GB" w:eastAsia="zh-CN"/>
        </w:rPr>
        <w:t xml:space="preserve">slot </w:t>
      </w:r>
      <w:r w:rsidR="000753F3" w:rsidRPr="00045108">
        <w:rPr>
          <w:lang w:val="en-GB" w:eastAsia="zh-CN"/>
        </w:rPr>
        <w:t>guarantee</w:t>
      </w:r>
      <w:r>
        <w:rPr>
          <w:lang w:val="en-GB" w:eastAsia="zh-CN"/>
        </w:rPr>
        <w:t>s</w:t>
      </w:r>
      <w:r w:rsidR="000753F3" w:rsidRPr="00045108">
        <w:rPr>
          <w:lang w:val="en-GB" w:eastAsia="zh-CN"/>
        </w:rPr>
        <w:t xml:space="preserve"> slot-aligned periods</w:t>
      </w:r>
      <w:r>
        <w:rPr>
          <w:lang w:val="en-GB" w:eastAsia="zh-CN"/>
        </w:rPr>
        <w:t>.</w:t>
      </w:r>
      <w:r w:rsidR="000753F3">
        <w:rPr>
          <w:lang w:val="en-GB" w:eastAsia="zh-CN"/>
        </w:rPr>
        <w:t xml:space="preserve"> </w:t>
      </w:r>
      <w:r w:rsidR="00756A92">
        <w:rPr>
          <w:lang w:val="en-GB" w:eastAsia="zh-CN"/>
        </w:rPr>
        <w:t xml:space="preserve">We show further down that TSN traffic periodicity requirements from </w:t>
      </w:r>
      <w:r w:rsidR="00756A92">
        <w:rPr>
          <w:lang w:eastAsia="zh-CN"/>
        </w:rPr>
        <w:t xml:space="preserve">TS 22.104 </w:t>
      </w:r>
      <w:r w:rsidR="00756A92">
        <w:rPr>
          <w:lang w:eastAsia="zh-CN"/>
        </w:rPr>
        <w:fldChar w:fldCharType="begin"/>
      </w:r>
      <w:r w:rsidR="00756A92">
        <w:rPr>
          <w:lang w:eastAsia="zh-CN"/>
        </w:rPr>
        <w:instrText xml:space="preserve"> REF _Ref4491468 \r \h </w:instrText>
      </w:r>
      <w:r w:rsidR="00756A92">
        <w:rPr>
          <w:lang w:eastAsia="zh-CN"/>
        </w:rPr>
      </w:r>
      <w:r w:rsidR="00756A92">
        <w:rPr>
          <w:lang w:eastAsia="zh-CN"/>
        </w:rPr>
        <w:fldChar w:fldCharType="separate"/>
      </w:r>
      <w:r w:rsidR="00756A92">
        <w:rPr>
          <w:lang w:eastAsia="zh-CN"/>
        </w:rPr>
        <w:t>[3]</w:t>
      </w:r>
      <w:r w:rsidR="00756A92">
        <w:rPr>
          <w:lang w:eastAsia="zh-CN"/>
        </w:rPr>
        <w:fldChar w:fldCharType="end"/>
      </w:r>
      <w:r w:rsidR="00756A92">
        <w:rPr>
          <w:lang w:eastAsia="zh-CN"/>
        </w:rPr>
        <w:t xml:space="preserve"> do not go lower than </w:t>
      </w:r>
      <w:r w:rsidR="00756A92" w:rsidRPr="00045108">
        <w:rPr>
          <w:lang w:eastAsia="zh-CN"/>
        </w:rPr>
        <w:t>500 µs</w:t>
      </w:r>
      <w:r w:rsidR="00756A92">
        <w:rPr>
          <w:lang w:eastAsia="zh-CN"/>
        </w:rPr>
        <w:t>.</w:t>
      </w:r>
      <w:r w:rsidR="00756A92" w:rsidRPr="00045108">
        <w:rPr>
          <w:lang w:eastAsia="zh-CN"/>
        </w:rPr>
        <w:t xml:space="preserve"> </w:t>
      </w:r>
      <w:r w:rsidR="000753F3" w:rsidRPr="00045108">
        <w:rPr>
          <w:lang w:eastAsia="zh-CN"/>
        </w:rPr>
        <w:t xml:space="preserve">The lower range of the CG periodicity ≥ 500 µs provides limited granularity: 500, </w:t>
      </w:r>
      <w:r w:rsidR="000753F3" w:rsidRPr="006D5573">
        <w:rPr>
          <w:lang w:eastAsia="zh-CN"/>
        </w:rPr>
        <w:t xml:space="preserve">625, </w:t>
      </w:r>
      <w:r w:rsidR="000753F3">
        <w:rPr>
          <w:lang w:eastAsia="zh-CN"/>
        </w:rPr>
        <w:t>1000</w:t>
      </w:r>
      <w:r w:rsidR="00756A92">
        <w:rPr>
          <w:lang w:eastAsia="zh-CN"/>
        </w:rPr>
        <w:t>, 1250</w:t>
      </w:r>
      <w:r w:rsidR="000753F3" w:rsidRPr="006D5573">
        <w:rPr>
          <w:lang w:eastAsia="zh-CN"/>
        </w:rPr>
        <w:t xml:space="preserve"> µs, </w:t>
      </w:r>
      <w:proofErr w:type="spellStart"/>
      <w:r w:rsidR="000753F3">
        <w:rPr>
          <w:lang w:eastAsia="zh-CN"/>
        </w:rPr>
        <w:t>etc</w:t>
      </w:r>
      <w:proofErr w:type="spellEnd"/>
      <w:r w:rsidR="000753F3">
        <w:rPr>
          <w:lang w:eastAsia="zh-CN"/>
        </w:rPr>
        <w:t>,</w:t>
      </w:r>
      <w:r w:rsidR="000753F3" w:rsidRPr="006D5573">
        <w:rPr>
          <w:lang w:eastAsia="zh-CN"/>
        </w:rPr>
        <w:t xml:space="preserve"> as shown in </w:t>
      </w:r>
      <w:r w:rsidR="000753F3" w:rsidRPr="006D5573">
        <w:rPr>
          <w:lang w:eastAsia="zh-CN"/>
        </w:rPr>
        <w:fldChar w:fldCharType="begin"/>
      </w:r>
      <w:r w:rsidR="000753F3" w:rsidRPr="006D5573">
        <w:rPr>
          <w:lang w:eastAsia="zh-CN"/>
        </w:rPr>
        <w:instrText xml:space="preserve"> REF _Ref897608 \h  \* MERGEFORMAT </w:instrText>
      </w:r>
      <w:r w:rsidR="000753F3" w:rsidRPr="006D5573">
        <w:rPr>
          <w:lang w:eastAsia="zh-CN"/>
        </w:rPr>
      </w:r>
      <w:r w:rsidR="000753F3" w:rsidRPr="006D5573">
        <w:rPr>
          <w:lang w:eastAsia="zh-CN"/>
        </w:rPr>
        <w:fldChar w:fldCharType="separate"/>
      </w:r>
      <w:r w:rsidR="000753F3" w:rsidRPr="006D5573">
        <w:t xml:space="preserve">Table </w:t>
      </w:r>
      <w:r w:rsidR="000753F3" w:rsidRPr="006D5573">
        <w:rPr>
          <w:noProof/>
        </w:rPr>
        <w:t>1</w:t>
      </w:r>
      <w:r w:rsidR="000753F3" w:rsidRPr="006D5573">
        <w:rPr>
          <w:lang w:eastAsia="zh-CN"/>
        </w:rPr>
        <w:fldChar w:fldCharType="end"/>
      </w:r>
      <w:r w:rsidR="000753F3">
        <w:rPr>
          <w:lang w:eastAsia="zh-CN"/>
        </w:rPr>
        <w:t xml:space="preserve"> up to </w:t>
      </w:r>
      <w:r w:rsidR="000753F3" w:rsidRPr="00756A92">
        <w:rPr>
          <w:i/>
          <w:lang w:eastAsia="zh-CN"/>
        </w:rPr>
        <w:t>n</w:t>
      </w:r>
      <w:r w:rsidR="000753F3">
        <w:rPr>
          <w:lang w:eastAsia="zh-CN"/>
        </w:rPr>
        <w:t xml:space="preserve"> = 10</w:t>
      </w:r>
      <w:r w:rsidR="000753F3" w:rsidRPr="006D5573">
        <w:rPr>
          <w:lang w:eastAsia="zh-CN"/>
        </w:rPr>
        <w:t>.</w:t>
      </w:r>
    </w:p>
    <w:p w:rsidR="000753F3" w:rsidRDefault="000753F3" w:rsidP="000753F3">
      <w:pPr>
        <w:pStyle w:val="a0"/>
        <w:numPr>
          <w:ilvl w:val="0"/>
          <w:numId w:val="13"/>
        </w:numPr>
        <w:rPr>
          <w:lang w:eastAsia="zh-CN"/>
        </w:rPr>
      </w:pPr>
      <w:r w:rsidRPr="00045108">
        <w:rPr>
          <w:lang w:eastAsia="zh-CN"/>
        </w:rPr>
        <w:t>Note the lower values of Rel-15 (31.25 and 62.5) are for FR2 only.</w:t>
      </w:r>
    </w:p>
    <w:p w:rsidR="000753F3" w:rsidRPr="006D5573" w:rsidRDefault="000753F3" w:rsidP="000753F3">
      <w:pPr>
        <w:pStyle w:val="a5"/>
        <w:jc w:val="center"/>
        <w:rPr>
          <w:b/>
        </w:rPr>
      </w:pPr>
      <w:bookmarkStart w:id="7" w:name="_Ref897608"/>
      <w:r w:rsidRPr="006D5573">
        <w:rPr>
          <w:b/>
        </w:rPr>
        <w:t xml:space="preserve">Table </w:t>
      </w:r>
      <w:r w:rsidRPr="006D5573">
        <w:rPr>
          <w:b/>
        </w:rPr>
        <w:fldChar w:fldCharType="begin"/>
      </w:r>
      <w:r w:rsidRPr="006D5573">
        <w:rPr>
          <w:b/>
        </w:rPr>
        <w:instrText xml:space="preserve"> SEQ Table \* ARABIC </w:instrText>
      </w:r>
      <w:r w:rsidRPr="006D5573">
        <w:rPr>
          <w:b/>
        </w:rPr>
        <w:fldChar w:fldCharType="separate"/>
      </w:r>
      <w:r w:rsidR="00E07B58">
        <w:rPr>
          <w:b/>
          <w:noProof/>
        </w:rPr>
        <w:t>1</w:t>
      </w:r>
      <w:r w:rsidRPr="006D5573">
        <w:rPr>
          <w:b/>
        </w:rPr>
        <w:fldChar w:fldCharType="end"/>
      </w:r>
      <w:bookmarkEnd w:id="7"/>
      <w:r w:rsidRPr="006D5573">
        <w:rPr>
          <w:b/>
        </w:rPr>
        <w:t xml:space="preserve">: </w:t>
      </w:r>
      <w:r>
        <w:rPr>
          <w:b/>
        </w:rPr>
        <w:t xml:space="preserve">Rel-15 </w:t>
      </w:r>
      <w:r w:rsidRPr="006D5573">
        <w:rPr>
          <w:b/>
        </w:rPr>
        <w:t>C</w:t>
      </w:r>
      <w:r>
        <w:rPr>
          <w:b/>
        </w:rPr>
        <w:t xml:space="preserve">G periodicities (low range) for the 5 supported </w:t>
      </w:r>
      <w:r w:rsidRPr="006D5573">
        <w:rPr>
          <w:b/>
        </w:rPr>
        <w:t>numerologies</w:t>
      </w:r>
    </w:p>
    <w:tbl>
      <w:tblPr>
        <w:tblW w:w="0" w:type="auto"/>
        <w:jc w:val="center"/>
        <w:tblInd w:w="93" w:type="dxa"/>
        <w:tblLook w:val="04A0" w:firstRow="1" w:lastRow="0" w:firstColumn="1" w:lastColumn="0" w:noHBand="0" w:noVBand="1"/>
      </w:tblPr>
      <w:tblGrid>
        <w:gridCol w:w="315"/>
        <w:gridCol w:w="782"/>
        <w:gridCol w:w="901"/>
        <w:gridCol w:w="627"/>
        <w:gridCol w:w="581"/>
        <w:gridCol w:w="581"/>
        <w:gridCol w:w="581"/>
        <w:gridCol w:w="627"/>
        <w:gridCol w:w="581"/>
        <w:gridCol w:w="673"/>
      </w:tblGrid>
      <w:tr w:rsidR="00A5720B" w:rsidRPr="00A5720B" w:rsidTr="00E303F7">
        <w:trPr>
          <w:trHeight w:val="300"/>
          <w:jc w:val="center"/>
        </w:trPr>
        <w:tc>
          <w:tcPr>
            <w:tcW w:w="0" w:type="auto"/>
            <w:vMerge w:val="restart"/>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E303F7">
              <w:rPr>
                <w:rFonts w:ascii="Calibri" w:hAnsi="Calibri" w:cs="Calibri"/>
                <w:color w:val="000000"/>
                <w:sz w:val="18"/>
                <w:szCs w:val="22"/>
                <w:lang w:eastAsia="zh-CN"/>
              </w:rPr>
              <w:t>µ</w:t>
            </w:r>
          </w:p>
        </w:tc>
        <w:tc>
          <w:tcPr>
            <w:tcW w:w="0" w:type="auto"/>
            <w:vMerge w:val="restart"/>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proofErr w:type="spellStart"/>
            <w:r w:rsidRPr="00A5720B">
              <w:rPr>
                <w:rFonts w:ascii="Calibri" w:hAnsi="Calibri" w:cs="Calibri"/>
                <w:color w:val="000000"/>
                <w:sz w:val="18"/>
                <w:szCs w:val="22"/>
                <w:lang w:eastAsia="zh-CN"/>
              </w:rPr>
              <w:t>df</w:t>
            </w:r>
            <w:proofErr w:type="spellEnd"/>
            <w:r w:rsidRPr="00A5720B">
              <w:rPr>
                <w:rFonts w:ascii="Calibri" w:hAnsi="Calibri" w:cs="Calibri"/>
                <w:color w:val="000000"/>
                <w:sz w:val="18"/>
                <w:szCs w:val="22"/>
                <w:lang w:eastAsia="zh-CN"/>
              </w:rPr>
              <w:t xml:space="preserve"> [kHz]</w:t>
            </w:r>
          </w:p>
        </w:tc>
        <w:tc>
          <w:tcPr>
            <w:tcW w:w="0" w:type="auto"/>
            <w:gridSpan w:val="8"/>
            <w:tcBorders>
              <w:top w:val="single" w:sz="4" w:space="0" w:color="B2B2B2"/>
              <w:left w:val="nil"/>
              <w:bottom w:val="single" w:sz="4" w:space="0" w:color="B2B2B2"/>
              <w:right w:val="single" w:sz="4" w:space="0" w:color="B2B2B2"/>
            </w:tcBorders>
            <w:shd w:val="clear" w:color="000000" w:fill="FFFFCC"/>
            <w:noWrap/>
            <w:vAlign w:val="center"/>
            <w:hideMark/>
          </w:tcPr>
          <w:p w:rsidR="00A5720B" w:rsidRPr="00A5720B" w:rsidRDefault="00A5720B" w:rsidP="00E303F7">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CG periodicity (us)</w:t>
            </w:r>
          </w:p>
        </w:tc>
      </w:tr>
      <w:tr w:rsidR="00A5720B" w:rsidRPr="00A5720B" w:rsidTr="00E303F7">
        <w:trPr>
          <w:trHeight w:val="300"/>
          <w:jc w:val="center"/>
        </w:trPr>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A5720B">
            <w:pPr>
              <w:rPr>
                <w:rFonts w:ascii="Calibri" w:hAnsi="Calibri" w:cs="Calibri"/>
                <w:color w:val="000000"/>
                <w:sz w:val="18"/>
                <w:szCs w:val="22"/>
                <w:lang w:eastAsia="zh-CN"/>
              </w:rPr>
            </w:pPr>
          </w:p>
        </w:tc>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A5720B">
            <w:pPr>
              <w:rPr>
                <w:rFonts w:ascii="Calibri" w:hAnsi="Calibri" w:cs="Calibri"/>
                <w:color w:val="000000"/>
                <w:sz w:val="18"/>
                <w:szCs w:val="22"/>
                <w:lang w:eastAsia="zh-CN"/>
              </w:rPr>
            </w:pPr>
          </w:p>
        </w:tc>
        <w:tc>
          <w:tcPr>
            <w:tcW w:w="0" w:type="auto"/>
            <w:gridSpan w:val="2"/>
            <w:tcBorders>
              <w:top w:val="single" w:sz="4" w:space="0" w:color="B2B2B2"/>
              <w:left w:val="nil"/>
              <w:bottom w:val="single" w:sz="4" w:space="0" w:color="B2B2B2"/>
              <w:right w:val="single" w:sz="4" w:space="0" w:color="B2B2B2"/>
            </w:tcBorders>
            <w:shd w:val="clear" w:color="000000" w:fill="FFFFCC"/>
            <w:noWrap/>
            <w:vAlign w:val="center"/>
            <w:hideMark/>
          </w:tcPr>
          <w:p w:rsidR="00A5720B" w:rsidRPr="00A5720B" w:rsidRDefault="00A5720B" w:rsidP="00E303F7">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symbols</w:t>
            </w:r>
          </w:p>
        </w:tc>
        <w:tc>
          <w:tcPr>
            <w:tcW w:w="0" w:type="auto"/>
            <w:gridSpan w:val="6"/>
            <w:tcBorders>
              <w:top w:val="single" w:sz="4" w:space="0" w:color="B2B2B2"/>
              <w:left w:val="nil"/>
              <w:bottom w:val="single" w:sz="4" w:space="0" w:color="B2B2B2"/>
              <w:right w:val="single" w:sz="4" w:space="0" w:color="B2B2B2"/>
            </w:tcBorders>
            <w:shd w:val="clear" w:color="000000" w:fill="FFFFCC"/>
            <w:noWrap/>
            <w:vAlign w:val="center"/>
            <w:hideMark/>
          </w:tcPr>
          <w:p w:rsidR="00A5720B" w:rsidRPr="00A5720B" w:rsidRDefault="00A5720B" w:rsidP="00E303F7">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slots</w:t>
            </w:r>
          </w:p>
        </w:tc>
      </w:tr>
      <w:tr w:rsidR="00E303F7" w:rsidRPr="00E303F7" w:rsidTr="00E303F7">
        <w:trPr>
          <w:trHeight w:val="300"/>
          <w:jc w:val="center"/>
        </w:trPr>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A5720B">
            <w:pPr>
              <w:rPr>
                <w:rFonts w:ascii="Calibri" w:hAnsi="Calibri" w:cs="Calibri"/>
                <w:color w:val="000000"/>
                <w:sz w:val="18"/>
                <w:szCs w:val="22"/>
                <w:lang w:eastAsia="zh-CN"/>
              </w:rPr>
            </w:pPr>
          </w:p>
        </w:tc>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A5720B">
            <w:pPr>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7</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8</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0</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142.8571</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8000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71.42857</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35.71429</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17.85714</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240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8.928571</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A5720B">
            <w:pPr>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r>
    </w:tbl>
    <w:p w:rsidR="000753F3" w:rsidRPr="005967B6" w:rsidRDefault="000753F3" w:rsidP="000753F3">
      <w:pPr>
        <w:rPr>
          <w:lang w:val="en-GB" w:eastAsia="zh-CN"/>
        </w:rPr>
      </w:pPr>
    </w:p>
    <w:p w:rsidR="000753F3" w:rsidRDefault="000753F3" w:rsidP="000753F3">
      <w:pPr>
        <w:pStyle w:val="a0"/>
        <w:rPr>
          <w:lang w:val="en-GB" w:eastAsia="zh-CN"/>
        </w:rPr>
      </w:pPr>
      <w:r>
        <w:rPr>
          <w:lang w:val="en-GB" w:eastAsia="zh-CN"/>
        </w:rPr>
        <w:t>The question is: i</w:t>
      </w:r>
      <w:r w:rsidRPr="00045108">
        <w:rPr>
          <w:lang w:val="en-GB" w:eastAsia="zh-CN"/>
        </w:rPr>
        <w:t>s this sufficient for TSN?</w:t>
      </w:r>
      <w:r>
        <w:rPr>
          <w:lang w:val="en-GB" w:eastAsia="zh-CN"/>
        </w:rPr>
        <w:t xml:space="preserve"> In order to answer this question, we need to look further into the cycle times </w:t>
      </w:r>
      <w:r w:rsidR="00756A92">
        <w:rPr>
          <w:lang w:val="en-GB" w:eastAsia="zh-CN"/>
        </w:rPr>
        <w:t xml:space="preserve">(i.e. traffic period) </w:t>
      </w:r>
      <w:r>
        <w:rPr>
          <w:lang w:val="en-GB" w:eastAsia="zh-CN"/>
        </w:rPr>
        <w:t xml:space="preserve">and end-to-end latency requirements of </w:t>
      </w:r>
      <w:proofErr w:type="spellStart"/>
      <w:r>
        <w:rPr>
          <w:lang w:val="en-GB" w:eastAsia="zh-CN"/>
        </w:rPr>
        <w:t>IIoT</w:t>
      </w:r>
      <w:proofErr w:type="spellEnd"/>
      <w:r>
        <w:rPr>
          <w:lang w:val="en-GB" w:eastAsia="zh-CN"/>
        </w:rPr>
        <w:t xml:space="preserve"> traffic.</w:t>
      </w:r>
    </w:p>
    <w:p w:rsidR="000753F3" w:rsidRDefault="001C02CD" w:rsidP="000753F3">
      <w:pPr>
        <w:pStyle w:val="20"/>
        <w:ind w:left="562" w:hanging="562"/>
      </w:pPr>
      <w:bookmarkStart w:id="8" w:name="_Ref901712"/>
      <w:r>
        <w:rPr>
          <w:lang w:val="it-IT"/>
        </w:rPr>
        <w:t>TS 22.1</w:t>
      </w:r>
      <w:r w:rsidR="000753F3" w:rsidRPr="00834E7C">
        <w:rPr>
          <w:lang w:val="it-IT"/>
        </w:rPr>
        <w:t xml:space="preserve">04 requirements on cycle time and </w:t>
      </w:r>
      <w:r w:rsidR="000753F3">
        <w:rPr>
          <w:lang w:val="it-IT"/>
        </w:rPr>
        <w:t>end-to-end</w:t>
      </w:r>
      <w:r w:rsidR="000753F3" w:rsidRPr="00834E7C">
        <w:rPr>
          <w:lang w:val="it-IT"/>
        </w:rPr>
        <w:t xml:space="preserve"> latency</w:t>
      </w:r>
      <w:bookmarkEnd w:id="8"/>
    </w:p>
    <w:p w:rsidR="000753F3" w:rsidRDefault="000753F3" w:rsidP="000753F3">
      <w:pPr>
        <w:pStyle w:val="a0"/>
        <w:rPr>
          <w:lang w:eastAsia="zh-CN"/>
        </w:rPr>
      </w:pPr>
      <w:r>
        <w:rPr>
          <w:lang w:eastAsia="zh-CN"/>
        </w:rPr>
        <w:t xml:space="preserve">Some existing </w:t>
      </w:r>
      <w:proofErr w:type="spellStart"/>
      <w:r>
        <w:rPr>
          <w:lang w:eastAsia="zh-CN"/>
        </w:rPr>
        <w:t>IIoT</w:t>
      </w:r>
      <w:proofErr w:type="spellEnd"/>
      <w:r>
        <w:rPr>
          <w:lang w:eastAsia="zh-CN"/>
        </w:rPr>
        <w:t xml:space="preserve"> solutions support very small cycle times, for example </w:t>
      </w:r>
      <w:proofErr w:type="spellStart"/>
      <w:r w:rsidRPr="006760E3">
        <w:rPr>
          <w:lang w:eastAsia="zh-CN"/>
        </w:rPr>
        <w:t>EtherCAT</w:t>
      </w:r>
      <w:proofErr w:type="spellEnd"/>
      <w:r w:rsidRPr="006760E3">
        <w:rPr>
          <w:lang w:eastAsia="zh-CN"/>
        </w:rPr>
        <w:t xml:space="preserve"> </w:t>
      </w:r>
      <w:r>
        <w:rPr>
          <w:lang w:eastAsia="zh-CN"/>
        </w:rPr>
        <w:t>and PROFINET IRT support</w:t>
      </w:r>
      <w:r w:rsidRPr="006760E3">
        <w:rPr>
          <w:lang w:eastAsia="zh-CN"/>
        </w:rPr>
        <w:t xml:space="preserve"> cycle times as low as</w:t>
      </w:r>
      <w:r>
        <w:rPr>
          <w:lang w:eastAsia="zh-CN"/>
        </w:rPr>
        <w:t xml:space="preserve"> </w:t>
      </w:r>
      <w:r w:rsidRPr="006760E3">
        <w:rPr>
          <w:lang w:eastAsia="zh-CN"/>
        </w:rPr>
        <w:t>12.5 µs</w:t>
      </w:r>
      <w:r>
        <w:rPr>
          <w:lang w:eastAsia="zh-CN"/>
        </w:rPr>
        <w:t xml:space="preserve"> and</w:t>
      </w:r>
      <w:r w:rsidRPr="006760E3">
        <w:rPr>
          <w:lang w:eastAsia="zh-CN"/>
        </w:rPr>
        <w:t xml:space="preserve"> 31.25 µs</w:t>
      </w:r>
      <w:r>
        <w:rPr>
          <w:lang w:eastAsia="zh-CN"/>
        </w:rPr>
        <w:t xml:space="preserve"> respectively. TSN 802.1Qbv also supports very low cycle times. So it should be first checked which lower bound should be considered for </w:t>
      </w:r>
      <w:r w:rsidR="00E07B58">
        <w:rPr>
          <w:lang w:eastAsia="zh-CN"/>
        </w:rPr>
        <w:t xml:space="preserve">a TSN </w:t>
      </w:r>
      <w:r w:rsidR="001C02CD">
        <w:rPr>
          <w:lang w:eastAsia="zh-CN"/>
        </w:rPr>
        <w:t>traffic</w:t>
      </w:r>
      <w:r w:rsidR="00E07B58">
        <w:rPr>
          <w:lang w:eastAsia="zh-CN"/>
        </w:rPr>
        <w:t xml:space="preserve"> period</w:t>
      </w:r>
      <w:r w:rsidR="001C02CD">
        <w:rPr>
          <w:lang w:eastAsia="zh-CN"/>
        </w:rPr>
        <w:t xml:space="preserve"> from TS 22.104 </w:t>
      </w:r>
      <w:r w:rsidR="001C02CD">
        <w:rPr>
          <w:lang w:eastAsia="zh-CN"/>
        </w:rPr>
        <w:fldChar w:fldCharType="begin"/>
      </w:r>
      <w:r w:rsidR="001C02CD">
        <w:rPr>
          <w:lang w:eastAsia="zh-CN"/>
        </w:rPr>
        <w:instrText xml:space="preserve"> REF _Ref4491468 \r \h </w:instrText>
      </w:r>
      <w:r w:rsidR="001C02CD">
        <w:rPr>
          <w:lang w:eastAsia="zh-CN"/>
        </w:rPr>
      </w:r>
      <w:r w:rsidR="001C02CD">
        <w:rPr>
          <w:lang w:eastAsia="zh-CN"/>
        </w:rPr>
        <w:fldChar w:fldCharType="separate"/>
      </w:r>
      <w:r w:rsidR="001C02CD">
        <w:rPr>
          <w:lang w:eastAsia="zh-CN"/>
        </w:rPr>
        <w:t>[3]</w:t>
      </w:r>
      <w:r w:rsidR="001C02CD">
        <w:rPr>
          <w:lang w:eastAsia="zh-CN"/>
        </w:rPr>
        <w:fldChar w:fldCharType="end"/>
      </w:r>
      <w:r w:rsidR="001C02CD">
        <w:rPr>
          <w:lang w:eastAsia="zh-CN"/>
        </w:rPr>
        <w:t xml:space="preserve"> requirements</w:t>
      </w:r>
      <w:r>
        <w:rPr>
          <w:lang w:eastAsia="zh-CN"/>
        </w:rPr>
        <w:t>.</w:t>
      </w:r>
    </w:p>
    <w:p w:rsidR="00E07B58" w:rsidRPr="006D5573" w:rsidRDefault="00E07B58" w:rsidP="00E07B58">
      <w:pPr>
        <w:pStyle w:val="a5"/>
        <w:jc w:val="center"/>
        <w:rPr>
          <w:b/>
        </w:rPr>
      </w:pPr>
      <w:r w:rsidRPr="006D5573">
        <w:rPr>
          <w:b/>
        </w:rPr>
        <w:t xml:space="preserve">Table </w:t>
      </w:r>
      <w:r w:rsidRPr="006D5573">
        <w:rPr>
          <w:b/>
        </w:rPr>
        <w:fldChar w:fldCharType="begin"/>
      </w:r>
      <w:r w:rsidRPr="006D5573">
        <w:rPr>
          <w:b/>
        </w:rPr>
        <w:instrText xml:space="preserve"> SEQ Table \* ARABIC </w:instrText>
      </w:r>
      <w:r w:rsidRPr="006D5573">
        <w:rPr>
          <w:b/>
        </w:rPr>
        <w:fldChar w:fldCharType="separate"/>
      </w:r>
      <w:r>
        <w:rPr>
          <w:b/>
          <w:noProof/>
        </w:rPr>
        <w:t>2</w:t>
      </w:r>
      <w:r w:rsidRPr="006D5573">
        <w:rPr>
          <w:b/>
        </w:rPr>
        <w:fldChar w:fldCharType="end"/>
      </w:r>
      <w:r w:rsidRPr="006D5573">
        <w:rPr>
          <w:b/>
        </w:rPr>
        <w:t xml:space="preserve">: </w:t>
      </w:r>
      <w:r w:rsidR="00C72F87">
        <w:rPr>
          <w:b/>
        </w:rPr>
        <w:t xml:space="preserve">Extract from Table 5.2-1 of </w:t>
      </w:r>
      <w:r w:rsidR="001C02CD">
        <w:rPr>
          <w:b/>
        </w:rPr>
        <w:fldChar w:fldCharType="begin"/>
      </w:r>
      <w:r w:rsidR="001C02CD">
        <w:rPr>
          <w:b/>
        </w:rPr>
        <w:instrText xml:space="preserve"> REF _Ref4491468 \r \h </w:instrText>
      </w:r>
      <w:r w:rsidR="001C02CD">
        <w:rPr>
          <w:b/>
        </w:rPr>
      </w:r>
      <w:r w:rsidR="001C02CD">
        <w:rPr>
          <w:b/>
        </w:rPr>
        <w:fldChar w:fldCharType="separate"/>
      </w:r>
      <w:r w:rsidR="001C02CD">
        <w:rPr>
          <w:b/>
        </w:rPr>
        <w:t>[3]</w:t>
      </w:r>
      <w:r w:rsidR="001C02CD">
        <w:rPr>
          <w:b/>
        </w:rPr>
        <w:fldChar w:fldCharType="end"/>
      </w:r>
      <w:r w:rsidR="00C72F87">
        <w:rPr>
          <w:b/>
        </w:rPr>
        <w:t xml:space="preserve">: </w:t>
      </w:r>
      <w:r w:rsidR="00C72F87" w:rsidRPr="00C72F87">
        <w:rPr>
          <w:b/>
        </w:rPr>
        <w:t>Table 5.2-1: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1428"/>
        <w:gridCol w:w="1525"/>
        <w:gridCol w:w="1144"/>
        <w:gridCol w:w="2776"/>
      </w:tblGrid>
      <w:tr w:rsidR="00E07B58" w:rsidRPr="00E07B58" w:rsidTr="00E07B58">
        <w:trPr>
          <w:cantSplit/>
          <w:tblHeader/>
        </w:trPr>
        <w:tc>
          <w:tcPr>
            <w:tcW w:w="967" w:type="pct"/>
            <w:shd w:val="clear" w:color="auto" w:fill="auto"/>
          </w:tcPr>
          <w:p w:rsidR="00E07B58" w:rsidRPr="00E07B58" w:rsidRDefault="00E07B58" w:rsidP="00E07B58">
            <w:pPr>
              <w:pStyle w:val="TAH"/>
              <w:rPr>
                <w:sz w:val="16"/>
              </w:rPr>
            </w:pPr>
            <w:r w:rsidRPr="00E07B58">
              <w:rPr>
                <w:sz w:val="16"/>
              </w:rPr>
              <w:t>Communi</w:t>
            </w:r>
            <w:r w:rsidRPr="00E07B58">
              <w:rPr>
                <w:sz w:val="16"/>
              </w:rPr>
              <w:softHyphen/>
              <w:t>ca</w:t>
            </w:r>
            <w:r w:rsidRPr="00E07B58">
              <w:rPr>
                <w:sz w:val="16"/>
              </w:rPr>
              <w:softHyphen/>
              <w:t>tion service availability: target value</w:t>
            </w:r>
          </w:p>
        </w:tc>
        <w:tc>
          <w:tcPr>
            <w:tcW w:w="838" w:type="pct"/>
            <w:shd w:val="clear" w:color="auto" w:fill="auto"/>
          </w:tcPr>
          <w:p w:rsidR="00E07B58" w:rsidRPr="00E07B58" w:rsidRDefault="00E07B58" w:rsidP="00E07B58">
            <w:pPr>
              <w:pStyle w:val="TAH"/>
              <w:rPr>
                <w:sz w:val="16"/>
              </w:rPr>
            </w:pPr>
            <w:r w:rsidRPr="00E07B58">
              <w:rPr>
                <w:sz w:val="16"/>
              </w:rPr>
              <w:t>End-to-end latency: maximum</w:t>
            </w:r>
          </w:p>
        </w:tc>
        <w:tc>
          <w:tcPr>
            <w:tcW w:w="895" w:type="pct"/>
          </w:tcPr>
          <w:p w:rsidR="00E07B58" w:rsidRPr="00E07B58" w:rsidRDefault="00E07B58" w:rsidP="004F60B6">
            <w:pPr>
              <w:pStyle w:val="TAH"/>
              <w:rPr>
                <w:sz w:val="16"/>
              </w:rPr>
            </w:pPr>
            <w:r w:rsidRPr="00E07B58">
              <w:rPr>
                <w:sz w:val="16"/>
              </w:rPr>
              <w:t>Transfer interval: target value</w:t>
            </w:r>
          </w:p>
        </w:tc>
        <w:tc>
          <w:tcPr>
            <w:tcW w:w="671" w:type="pct"/>
          </w:tcPr>
          <w:p w:rsidR="00E07B58" w:rsidRPr="00E07B58" w:rsidRDefault="00E07B58" w:rsidP="004F60B6">
            <w:pPr>
              <w:pStyle w:val="TAH"/>
              <w:rPr>
                <w:sz w:val="16"/>
              </w:rPr>
            </w:pPr>
            <w:r w:rsidRPr="00E07B58">
              <w:rPr>
                <w:sz w:val="16"/>
              </w:rPr>
              <w:t>Survival time</w:t>
            </w:r>
          </w:p>
        </w:tc>
        <w:tc>
          <w:tcPr>
            <w:tcW w:w="1629" w:type="pct"/>
          </w:tcPr>
          <w:p w:rsidR="00E07B58" w:rsidRPr="00E07B58" w:rsidRDefault="00E07B58" w:rsidP="004F60B6">
            <w:pPr>
              <w:pStyle w:val="TAH"/>
              <w:rPr>
                <w:sz w:val="16"/>
              </w:rPr>
            </w:pPr>
            <w:r w:rsidRPr="00E07B58">
              <w:rPr>
                <w:sz w:val="16"/>
              </w:rPr>
              <w:t>Remarks</w:t>
            </w:r>
          </w:p>
        </w:tc>
      </w:tr>
      <w:tr w:rsidR="00E07B58" w:rsidRPr="00E07B58" w:rsidTr="00E07B58">
        <w:trPr>
          <w:cantSplit/>
        </w:trPr>
        <w:tc>
          <w:tcPr>
            <w:tcW w:w="967" w:type="pct"/>
            <w:shd w:val="clear" w:color="auto" w:fill="auto"/>
          </w:tcPr>
          <w:p w:rsidR="00E07B58" w:rsidRPr="00E07B58" w:rsidRDefault="00E07B58" w:rsidP="004F60B6">
            <w:pPr>
              <w:pStyle w:val="TAL"/>
              <w:rPr>
                <w:sz w:val="16"/>
              </w:rPr>
            </w:pPr>
            <w:r w:rsidRPr="00E07B58">
              <w:rPr>
                <w:sz w:val="16"/>
              </w:rPr>
              <w:t>99,999 % to 99,99999 %</w:t>
            </w:r>
          </w:p>
        </w:tc>
        <w:tc>
          <w:tcPr>
            <w:tcW w:w="838" w:type="pct"/>
            <w:shd w:val="clear" w:color="auto" w:fill="auto"/>
          </w:tcPr>
          <w:p w:rsidR="00E07B58" w:rsidRPr="00E07B58" w:rsidRDefault="00E07B58" w:rsidP="004F60B6">
            <w:pPr>
              <w:pStyle w:val="TAL"/>
              <w:rPr>
                <w:sz w:val="16"/>
              </w:rPr>
            </w:pPr>
            <w:r w:rsidRPr="00E07B58">
              <w:rPr>
                <w:sz w:val="16"/>
                <w:lang w:eastAsia="en-US"/>
              </w:rPr>
              <w:t>&lt; transfer interval value</w:t>
            </w:r>
          </w:p>
        </w:tc>
        <w:tc>
          <w:tcPr>
            <w:tcW w:w="895" w:type="pct"/>
          </w:tcPr>
          <w:p w:rsidR="00E07B58" w:rsidRPr="00E07B58" w:rsidRDefault="00E07B58" w:rsidP="004F60B6">
            <w:pPr>
              <w:pStyle w:val="TAL"/>
              <w:rPr>
                <w:sz w:val="16"/>
              </w:rPr>
            </w:pPr>
            <w:r w:rsidRPr="00E07B58">
              <w:rPr>
                <w:sz w:val="16"/>
              </w:rPr>
              <w:t>500 </w:t>
            </w:r>
            <w:proofErr w:type="spellStart"/>
            <w:r w:rsidRPr="00E07B58">
              <w:rPr>
                <w:sz w:val="16"/>
              </w:rPr>
              <w:t>μs</w:t>
            </w:r>
            <w:proofErr w:type="spellEnd"/>
            <w:r w:rsidRPr="00E07B58">
              <w:rPr>
                <w:sz w:val="16"/>
              </w:rPr>
              <w:t xml:space="preserve"> </w:t>
            </w:r>
          </w:p>
        </w:tc>
        <w:tc>
          <w:tcPr>
            <w:tcW w:w="671" w:type="pct"/>
          </w:tcPr>
          <w:p w:rsidR="00E07B58" w:rsidRPr="00E07B58" w:rsidRDefault="00E07B58" w:rsidP="004F60B6">
            <w:pPr>
              <w:pStyle w:val="TAL"/>
              <w:rPr>
                <w:sz w:val="16"/>
              </w:rPr>
            </w:pPr>
            <w:r w:rsidRPr="00E07B58">
              <w:rPr>
                <w:sz w:val="16"/>
              </w:rPr>
              <w:t>500 </w:t>
            </w:r>
            <w:proofErr w:type="spellStart"/>
            <w:r w:rsidRPr="00E07B58">
              <w:rPr>
                <w:sz w:val="16"/>
              </w:rPr>
              <w:t>μs</w:t>
            </w:r>
            <w:proofErr w:type="spellEnd"/>
          </w:p>
        </w:tc>
        <w:tc>
          <w:tcPr>
            <w:tcW w:w="1629" w:type="pct"/>
          </w:tcPr>
          <w:p w:rsidR="00E07B58" w:rsidRPr="00E07B58" w:rsidRDefault="00E07B58" w:rsidP="004F60B6">
            <w:pPr>
              <w:pStyle w:val="TAL"/>
              <w:rPr>
                <w:sz w:val="16"/>
              </w:rPr>
            </w:pPr>
            <w:r w:rsidRPr="00E07B58">
              <w:rPr>
                <w:sz w:val="16"/>
              </w:rPr>
              <w:t>Motion control (A.2.2.1)</w:t>
            </w:r>
          </w:p>
        </w:tc>
      </w:tr>
      <w:tr w:rsidR="00E07B58" w:rsidRPr="00E07B58" w:rsidTr="00E07B58">
        <w:trPr>
          <w:cantSplit/>
        </w:trPr>
        <w:tc>
          <w:tcPr>
            <w:tcW w:w="967" w:type="pct"/>
            <w:shd w:val="clear" w:color="auto" w:fill="auto"/>
          </w:tcPr>
          <w:p w:rsidR="00E07B58" w:rsidRPr="00E07B58" w:rsidRDefault="00E07B58" w:rsidP="004F60B6">
            <w:pPr>
              <w:pStyle w:val="TAL"/>
              <w:rPr>
                <w:sz w:val="16"/>
              </w:rPr>
            </w:pPr>
            <w:r w:rsidRPr="00E07B58">
              <w:rPr>
                <w:sz w:val="16"/>
              </w:rPr>
              <w:t>99,9999 % to 99,999999 %</w:t>
            </w:r>
          </w:p>
        </w:tc>
        <w:tc>
          <w:tcPr>
            <w:tcW w:w="838" w:type="pct"/>
            <w:shd w:val="clear" w:color="auto" w:fill="auto"/>
          </w:tcPr>
          <w:p w:rsidR="00E07B58" w:rsidRPr="00E07B58" w:rsidRDefault="00E07B58" w:rsidP="004F60B6">
            <w:pPr>
              <w:pStyle w:val="TAL"/>
              <w:rPr>
                <w:sz w:val="16"/>
              </w:rPr>
            </w:pPr>
            <w:r w:rsidRPr="00E07B58">
              <w:rPr>
                <w:sz w:val="16"/>
                <w:lang w:eastAsia="en-US"/>
              </w:rPr>
              <w:t>&lt; transfer interval value</w:t>
            </w:r>
          </w:p>
        </w:tc>
        <w:tc>
          <w:tcPr>
            <w:tcW w:w="895" w:type="pct"/>
          </w:tcPr>
          <w:p w:rsidR="00E07B58" w:rsidRPr="00E07B58" w:rsidRDefault="00E07B58" w:rsidP="004F60B6">
            <w:pPr>
              <w:pStyle w:val="TAL"/>
              <w:rPr>
                <w:sz w:val="16"/>
              </w:rPr>
            </w:pPr>
            <w:r w:rsidRPr="00E07B58">
              <w:rPr>
                <w:sz w:val="16"/>
              </w:rPr>
              <w:t xml:space="preserve">1 </w:t>
            </w:r>
            <w:proofErr w:type="spellStart"/>
            <w:r w:rsidRPr="00E07B58">
              <w:rPr>
                <w:sz w:val="16"/>
              </w:rPr>
              <w:t>ms</w:t>
            </w:r>
            <w:proofErr w:type="spellEnd"/>
            <w:r w:rsidRPr="00E07B58">
              <w:rPr>
                <w:sz w:val="16"/>
              </w:rPr>
              <w:t xml:space="preserve"> </w:t>
            </w:r>
          </w:p>
        </w:tc>
        <w:tc>
          <w:tcPr>
            <w:tcW w:w="671" w:type="pct"/>
          </w:tcPr>
          <w:p w:rsidR="00E07B58" w:rsidRPr="00E07B58" w:rsidRDefault="00E07B58" w:rsidP="004F60B6">
            <w:pPr>
              <w:pStyle w:val="TAL"/>
              <w:rPr>
                <w:sz w:val="16"/>
              </w:rPr>
            </w:pPr>
            <w:r w:rsidRPr="00E07B58">
              <w:rPr>
                <w:sz w:val="16"/>
              </w:rPr>
              <w:t xml:space="preserve">1 </w:t>
            </w:r>
            <w:proofErr w:type="spellStart"/>
            <w:r w:rsidRPr="00E07B58">
              <w:rPr>
                <w:sz w:val="16"/>
              </w:rPr>
              <w:t>ms</w:t>
            </w:r>
            <w:proofErr w:type="spellEnd"/>
          </w:p>
        </w:tc>
        <w:tc>
          <w:tcPr>
            <w:tcW w:w="1629" w:type="pct"/>
          </w:tcPr>
          <w:p w:rsidR="00E07B58" w:rsidRPr="00E07B58" w:rsidRDefault="00E07B58" w:rsidP="004F60B6">
            <w:pPr>
              <w:pStyle w:val="TAL"/>
              <w:rPr>
                <w:sz w:val="16"/>
              </w:rPr>
            </w:pPr>
            <w:r w:rsidRPr="00E07B58">
              <w:rPr>
                <w:sz w:val="16"/>
              </w:rPr>
              <w:t>Motion control (A.2.2.1)</w:t>
            </w:r>
          </w:p>
        </w:tc>
      </w:tr>
      <w:tr w:rsidR="00E07B58" w:rsidRPr="00E07B58" w:rsidTr="00E07B58">
        <w:trPr>
          <w:cantSplit/>
        </w:trPr>
        <w:tc>
          <w:tcPr>
            <w:tcW w:w="967" w:type="pct"/>
            <w:shd w:val="clear" w:color="auto" w:fill="auto"/>
          </w:tcPr>
          <w:p w:rsidR="00E07B58" w:rsidRPr="00E07B58" w:rsidRDefault="00E07B58" w:rsidP="004F60B6">
            <w:pPr>
              <w:pStyle w:val="TAL"/>
              <w:rPr>
                <w:sz w:val="16"/>
              </w:rPr>
            </w:pPr>
            <w:r w:rsidRPr="00E07B58">
              <w:rPr>
                <w:sz w:val="16"/>
              </w:rPr>
              <w:t>99,9999 % to 99,999999 %</w:t>
            </w:r>
          </w:p>
        </w:tc>
        <w:tc>
          <w:tcPr>
            <w:tcW w:w="838" w:type="pct"/>
            <w:shd w:val="clear" w:color="auto" w:fill="auto"/>
          </w:tcPr>
          <w:p w:rsidR="00E07B58" w:rsidRPr="00E07B58" w:rsidRDefault="00E07B58" w:rsidP="004F60B6">
            <w:pPr>
              <w:pStyle w:val="TAL"/>
              <w:rPr>
                <w:sz w:val="16"/>
              </w:rPr>
            </w:pPr>
            <w:r w:rsidRPr="00E07B58">
              <w:rPr>
                <w:sz w:val="16"/>
                <w:lang w:eastAsia="en-US"/>
              </w:rPr>
              <w:t>&lt; transfer interval value</w:t>
            </w:r>
          </w:p>
        </w:tc>
        <w:tc>
          <w:tcPr>
            <w:tcW w:w="895" w:type="pct"/>
          </w:tcPr>
          <w:p w:rsidR="00E07B58" w:rsidRPr="00E07B58" w:rsidRDefault="00E07B58" w:rsidP="004F60B6">
            <w:pPr>
              <w:pStyle w:val="TAL"/>
              <w:rPr>
                <w:sz w:val="16"/>
              </w:rPr>
            </w:pPr>
            <w:r w:rsidRPr="00E07B58">
              <w:rPr>
                <w:sz w:val="16"/>
              </w:rPr>
              <w:t xml:space="preserve">2 </w:t>
            </w:r>
            <w:proofErr w:type="spellStart"/>
            <w:r w:rsidRPr="00E07B58">
              <w:rPr>
                <w:sz w:val="16"/>
              </w:rPr>
              <w:t>ms</w:t>
            </w:r>
            <w:proofErr w:type="spellEnd"/>
            <w:r w:rsidRPr="00E07B58">
              <w:rPr>
                <w:sz w:val="16"/>
              </w:rPr>
              <w:t xml:space="preserve"> </w:t>
            </w:r>
          </w:p>
        </w:tc>
        <w:tc>
          <w:tcPr>
            <w:tcW w:w="671" w:type="pct"/>
          </w:tcPr>
          <w:p w:rsidR="00E07B58" w:rsidRPr="00E07B58" w:rsidRDefault="00E07B58" w:rsidP="004F60B6">
            <w:pPr>
              <w:pStyle w:val="TAL"/>
              <w:rPr>
                <w:sz w:val="16"/>
              </w:rPr>
            </w:pPr>
            <w:r w:rsidRPr="00E07B58">
              <w:rPr>
                <w:sz w:val="16"/>
              </w:rPr>
              <w:t xml:space="preserve">2 </w:t>
            </w:r>
            <w:proofErr w:type="spellStart"/>
            <w:r w:rsidRPr="00E07B58">
              <w:rPr>
                <w:sz w:val="16"/>
              </w:rPr>
              <w:t>ms</w:t>
            </w:r>
            <w:proofErr w:type="spellEnd"/>
          </w:p>
        </w:tc>
        <w:tc>
          <w:tcPr>
            <w:tcW w:w="1629" w:type="pct"/>
          </w:tcPr>
          <w:p w:rsidR="00E07B58" w:rsidRPr="00E07B58" w:rsidRDefault="00E07B58" w:rsidP="004F60B6">
            <w:pPr>
              <w:pStyle w:val="TAL"/>
              <w:rPr>
                <w:sz w:val="16"/>
              </w:rPr>
            </w:pPr>
            <w:r w:rsidRPr="00E07B58">
              <w:rPr>
                <w:sz w:val="16"/>
              </w:rPr>
              <w:t>Motion control (A.2.2.1)</w:t>
            </w:r>
          </w:p>
        </w:tc>
      </w:tr>
      <w:tr w:rsidR="00E07B58" w:rsidRPr="00E07B58" w:rsidTr="00E07B58">
        <w:trPr>
          <w:cantSplit/>
        </w:trPr>
        <w:tc>
          <w:tcPr>
            <w:tcW w:w="967" w:type="pct"/>
            <w:shd w:val="clear" w:color="auto" w:fill="auto"/>
          </w:tcPr>
          <w:p w:rsidR="00E07B58" w:rsidRPr="00E07B58" w:rsidRDefault="00E07B58" w:rsidP="004F60B6">
            <w:pPr>
              <w:pStyle w:val="TAL"/>
              <w:rPr>
                <w:sz w:val="16"/>
              </w:rPr>
            </w:pPr>
            <w:r w:rsidRPr="00E07B58">
              <w:rPr>
                <w:sz w:val="16"/>
              </w:rPr>
              <w:t>99,9999 %</w:t>
            </w:r>
          </w:p>
        </w:tc>
        <w:tc>
          <w:tcPr>
            <w:tcW w:w="838" w:type="pct"/>
            <w:shd w:val="clear" w:color="auto" w:fill="auto"/>
          </w:tcPr>
          <w:p w:rsidR="00E07B58" w:rsidRPr="00E07B58" w:rsidRDefault="00E07B58" w:rsidP="004F60B6">
            <w:pPr>
              <w:pStyle w:val="TAL"/>
              <w:rPr>
                <w:sz w:val="16"/>
              </w:rPr>
            </w:pPr>
            <w:r w:rsidRPr="00E07B58">
              <w:rPr>
                <w:sz w:val="16"/>
                <w:lang w:eastAsia="en-US"/>
              </w:rPr>
              <w:t xml:space="preserve">&lt; 5 </w:t>
            </w:r>
            <w:proofErr w:type="spellStart"/>
            <w:r w:rsidRPr="00E07B58">
              <w:rPr>
                <w:sz w:val="16"/>
                <w:lang w:eastAsia="en-US"/>
              </w:rPr>
              <w:t>ms</w:t>
            </w:r>
            <w:proofErr w:type="spellEnd"/>
          </w:p>
        </w:tc>
        <w:tc>
          <w:tcPr>
            <w:tcW w:w="895" w:type="pct"/>
          </w:tcPr>
          <w:p w:rsidR="00E07B58" w:rsidRPr="00E07B58" w:rsidRDefault="00E07B58" w:rsidP="004F60B6">
            <w:pPr>
              <w:pStyle w:val="TAL"/>
              <w:rPr>
                <w:sz w:val="16"/>
              </w:rPr>
            </w:pPr>
            <w:r w:rsidRPr="00E07B58">
              <w:rPr>
                <w:sz w:val="16"/>
              </w:rPr>
              <w:t xml:space="preserve">&lt; 60 s </w:t>
            </w:r>
            <w:r w:rsidRPr="00E07B58">
              <w:rPr>
                <w:sz w:val="16"/>
              </w:rPr>
              <w:br/>
              <w:t>(steady state)</w:t>
            </w:r>
            <w:r w:rsidRPr="00E07B58">
              <w:rPr>
                <w:sz w:val="16"/>
              </w:rPr>
              <w:br/>
              <w:t xml:space="preserve">≥ 1 </w:t>
            </w:r>
            <w:proofErr w:type="spellStart"/>
            <w:r w:rsidRPr="00E07B58">
              <w:rPr>
                <w:sz w:val="16"/>
              </w:rPr>
              <w:t>ms</w:t>
            </w:r>
            <w:proofErr w:type="spellEnd"/>
            <w:r w:rsidRPr="00E07B58">
              <w:rPr>
                <w:sz w:val="16"/>
              </w:rPr>
              <w:t xml:space="preserve"> (fault case)</w:t>
            </w:r>
          </w:p>
        </w:tc>
        <w:tc>
          <w:tcPr>
            <w:tcW w:w="671" w:type="pct"/>
          </w:tcPr>
          <w:p w:rsidR="00E07B58" w:rsidRPr="00E07B58" w:rsidRDefault="00E07B58" w:rsidP="004F60B6">
            <w:pPr>
              <w:pStyle w:val="TAL"/>
              <w:rPr>
                <w:sz w:val="16"/>
              </w:rPr>
            </w:pPr>
            <w:r w:rsidRPr="00E07B58">
              <w:rPr>
                <w:sz w:val="16"/>
              </w:rPr>
              <w:t>TBD</w:t>
            </w:r>
          </w:p>
        </w:tc>
        <w:tc>
          <w:tcPr>
            <w:tcW w:w="1629" w:type="pct"/>
          </w:tcPr>
          <w:p w:rsidR="00E07B58" w:rsidRPr="00E07B58" w:rsidRDefault="00E07B58" w:rsidP="004F60B6">
            <w:pPr>
              <w:pStyle w:val="TAL"/>
              <w:rPr>
                <w:sz w:val="16"/>
              </w:rPr>
            </w:pPr>
            <w:r w:rsidRPr="00E07B58">
              <w:rPr>
                <w:sz w:val="16"/>
              </w:rPr>
              <w:t>Electrical Distribution – Dis</w:t>
            </w:r>
            <w:r w:rsidRPr="00E07B58">
              <w:rPr>
                <w:sz w:val="16"/>
              </w:rPr>
              <w:softHyphen/>
              <w:t>tri</w:t>
            </w:r>
            <w:r w:rsidRPr="00E07B58">
              <w:rPr>
                <w:sz w:val="16"/>
              </w:rPr>
              <w:softHyphen/>
              <w:t>buted automated switch</w:t>
            </w:r>
            <w:r w:rsidRPr="00E07B58">
              <w:rPr>
                <w:sz w:val="16"/>
              </w:rPr>
              <w:softHyphen/>
              <w:t>ing for isolation and service restoration</w:t>
            </w:r>
            <w:r>
              <w:rPr>
                <w:sz w:val="16"/>
              </w:rPr>
              <w:t xml:space="preserve"> (A.4.4);</w:t>
            </w:r>
          </w:p>
        </w:tc>
      </w:tr>
      <w:tr w:rsidR="00E07B58" w:rsidRPr="00E07B58" w:rsidTr="00E07B58">
        <w:trPr>
          <w:cantSplit/>
        </w:trPr>
        <w:tc>
          <w:tcPr>
            <w:tcW w:w="967" w:type="pct"/>
            <w:shd w:val="clear" w:color="auto" w:fill="auto"/>
          </w:tcPr>
          <w:p w:rsidR="00E07B58" w:rsidRPr="00E07B58" w:rsidRDefault="00E07B58" w:rsidP="004F60B6">
            <w:pPr>
              <w:pStyle w:val="TAL"/>
              <w:rPr>
                <w:sz w:val="16"/>
              </w:rPr>
            </w:pPr>
            <w:r w:rsidRPr="00E07B58">
              <w:rPr>
                <w:sz w:val="16"/>
              </w:rPr>
              <w:t>99,9999 % to 99,999999 %</w:t>
            </w:r>
          </w:p>
        </w:tc>
        <w:tc>
          <w:tcPr>
            <w:tcW w:w="838" w:type="pct"/>
            <w:shd w:val="clear" w:color="auto" w:fill="auto"/>
          </w:tcPr>
          <w:p w:rsidR="00E07B58" w:rsidRPr="00E07B58" w:rsidRDefault="00E07B58" w:rsidP="004F60B6">
            <w:pPr>
              <w:pStyle w:val="TAL"/>
              <w:rPr>
                <w:sz w:val="16"/>
                <w:lang w:eastAsia="en-US"/>
              </w:rPr>
            </w:pPr>
            <w:r w:rsidRPr="00E07B58">
              <w:rPr>
                <w:sz w:val="16"/>
                <w:lang w:eastAsia="en-US"/>
              </w:rPr>
              <w:t>&lt; transfer interval value</w:t>
            </w:r>
          </w:p>
        </w:tc>
        <w:tc>
          <w:tcPr>
            <w:tcW w:w="895" w:type="pct"/>
          </w:tcPr>
          <w:p w:rsidR="00E07B58" w:rsidRPr="00E07B58" w:rsidRDefault="00E07B58" w:rsidP="004F60B6">
            <w:pPr>
              <w:pStyle w:val="TAL"/>
              <w:rPr>
                <w:sz w:val="16"/>
              </w:rPr>
            </w:pPr>
            <w:r w:rsidRPr="00E07B58">
              <w:rPr>
                <w:sz w:val="16"/>
              </w:rPr>
              <w:t>≤ 10 </w:t>
            </w:r>
            <w:proofErr w:type="spellStart"/>
            <w:r w:rsidRPr="00E07B58">
              <w:rPr>
                <w:sz w:val="16"/>
              </w:rPr>
              <w:t>ms</w:t>
            </w:r>
            <w:proofErr w:type="spellEnd"/>
          </w:p>
        </w:tc>
        <w:tc>
          <w:tcPr>
            <w:tcW w:w="671" w:type="pct"/>
          </w:tcPr>
          <w:p w:rsidR="00E07B58" w:rsidRPr="00E07B58" w:rsidRDefault="00E07B58" w:rsidP="004F60B6">
            <w:pPr>
              <w:pStyle w:val="TAL"/>
              <w:rPr>
                <w:sz w:val="16"/>
              </w:rPr>
            </w:pPr>
            <w:r w:rsidRPr="00E07B58">
              <w:rPr>
                <w:sz w:val="16"/>
              </w:rPr>
              <w:t xml:space="preserve">10 </w:t>
            </w:r>
            <w:proofErr w:type="spellStart"/>
            <w:r w:rsidRPr="00E07B58">
              <w:rPr>
                <w:sz w:val="16"/>
              </w:rPr>
              <w:t>ms</w:t>
            </w:r>
            <w:proofErr w:type="spellEnd"/>
          </w:p>
        </w:tc>
        <w:tc>
          <w:tcPr>
            <w:tcW w:w="1629" w:type="pct"/>
          </w:tcPr>
          <w:p w:rsidR="00E07B58" w:rsidRPr="00E07B58" w:rsidRDefault="00E07B58" w:rsidP="004F60B6">
            <w:pPr>
              <w:pStyle w:val="TAL"/>
              <w:rPr>
                <w:sz w:val="16"/>
              </w:rPr>
            </w:pPr>
            <w:r w:rsidRPr="00E07B58">
              <w:rPr>
                <w:sz w:val="16"/>
              </w:rPr>
              <w:t>Control-to-control in motion control (A.2.2.2)</w:t>
            </w:r>
          </w:p>
        </w:tc>
      </w:tr>
      <w:tr w:rsidR="00E07B58" w:rsidRPr="00E07B58" w:rsidTr="00E07B58">
        <w:trPr>
          <w:cantSplit/>
        </w:trPr>
        <w:tc>
          <w:tcPr>
            <w:tcW w:w="967" w:type="pct"/>
            <w:shd w:val="clear" w:color="auto" w:fill="auto"/>
          </w:tcPr>
          <w:p w:rsidR="00E07B58" w:rsidRPr="00E07B58" w:rsidRDefault="00E07B58" w:rsidP="004F60B6">
            <w:pPr>
              <w:pStyle w:val="TAL"/>
              <w:rPr>
                <w:sz w:val="16"/>
              </w:rPr>
            </w:pPr>
            <w:r w:rsidRPr="00E07B58">
              <w:rPr>
                <w:sz w:val="16"/>
              </w:rPr>
              <w:t>&gt; 99,9999 %</w:t>
            </w:r>
          </w:p>
        </w:tc>
        <w:tc>
          <w:tcPr>
            <w:tcW w:w="838" w:type="pct"/>
            <w:shd w:val="clear" w:color="auto" w:fill="auto"/>
          </w:tcPr>
          <w:p w:rsidR="00E07B58" w:rsidRPr="00E07B58" w:rsidRDefault="00E07B58" w:rsidP="004F60B6">
            <w:pPr>
              <w:pStyle w:val="TAL"/>
              <w:rPr>
                <w:sz w:val="16"/>
                <w:lang w:eastAsia="en-US"/>
              </w:rPr>
            </w:pPr>
            <w:r w:rsidRPr="00E07B58">
              <w:rPr>
                <w:sz w:val="16"/>
                <w:lang w:eastAsia="en-US"/>
              </w:rPr>
              <w:t>&lt; transfer interval value</w:t>
            </w:r>
          </w:p>
        </w:tc>
        <w:tc>
          <w:tcPr>
            <w:tcW w:w="895" w:type="pct"/>
          </w:tcPr>
          <w:p w:rsidR="00E07B58" w:rsidRPr="00E07B58" w:rsidRDefault="00E07B58" w:rsidP="00E07B58">
            <w:pPr>
              <w:pStyle w:val="TAL"/>
              <w:rPr>
                <w:sz w:val="16"/>
              </w:rPr>
            </w:pPr>
            <w:r w:rsidRPr="00E07B58">
              <w:rPr>
                <w:sz w:val="16"/>
              </w:rPr>
              <w:t>1 </w:t>
            </w:r>
            <w:proofErr w:type="spellStart"/>
            <w:r w:rsidRPr="00E07B58">
              <w:rPr>
                <w:sz w:val="16"/>
              </w:rPr>
              <w:t>ms</w:t>
            </w:r>
            <w:proofErr w:type="spellEnd"/>
            <w:r w:rsidRPr="00E07B58">
              <w:rPr>
                <w:sz w:val="16"/>
              </w:rPr>
              <w:t xml:space="preserve"> to 50 </w:t>
            </w:r>
            <w:proofErr w:type="spellStart"/>
            <w:r w:rsidRPr="00E07B58">
              <w:rPr>
                <w:sz w:val="16"/>
              </w:rPr>
              <w:t>ms</w:t>
            </w:r>
            <w:proofErr w:type="spellEnd"/>
          </w:p>
        </w:tc>
        <w:tc>
          <w:tcPr>
            <w:tcW w:w="671" w:type="pct"/>
          </w:tcPr>
          <w:p w:rsidR="00E07B58" w:rsidRPr="00E07B58" w:rsidRDefault="00E07B58" w:rsidP="004F60B6">
            <w:pPr>
              <w:pStyle w:val="TAL"/>
              <w:rPr>
                <w:sz w:val="16"/>
              </w:rPr>
            </w:pPr>
            <w:r w:rsidRPr="00E07B58">
              <w:rPr>
                <w:sz w:val="16"/>
              </w:rPr>
              <w:t>transfer interval value</w:t>
            </w:r>
          </w:p>
        </w:tc>
        <w:tc>
          <w:tcPr>
            <w:tcW w:w="1629" w:type="pct"/>
          </w:tcPr>
          <w:p w:rsidR="00E07B58" w:rsidRPr="00E07B58" w:rsidRDefault="00E07B58" w:rsidP="004F60B6">
            <w:pPr>
              <w:pStyle w:val="TAL"/>
              <w:rPr>
                <w:sz w:val="16"/>
              </w:rPr>
            </w:pPr>
            <w:r w:rsidRPr="00E07B58">
              <w:rPr>
                <w:sz w:val="16"/>
              </w:rPr>
              <w:t>Mobile robots (A.2.2.3)</w:t>
            </w:r>
          </w:p>
        </w:tc>
      </w:tr>
    </w:tbl>
    <w:p w:rsidR="00E303F7" w:rsidRDefault="001C02CD" w:rsidP="000753F3">
      <w:pPr>
        <w:pStyle w:val="a0"/>
        <w:spacing w:before="120"/>
        <w:rPr>
          <w:lang w:eastAsia="zh-CN"/>
        </w:rPr>
      </w:pPr>
      <w:r>
        <w:rPr>
          <w:lang w:eastAsia="zh-CN"/>
        </w:rPr>
        <w:t>In the above table, the transfer interval corresponds to the TSN traffic period, or cycle time.</w:t>
      </w:r>
      <w:r w:rsidR="00E303F7">
        <w:rPr>
          <w:lang w:eastAsia="zh-CN"/>
        </w:rPr>
        <w:t xml:space="preserve"> As can be observed, in all cases (even considering the whole original Table), the cycle times constitute an upper bound for the end-to-end latency</w:t>
      </w:r>
      <w:r w:rsidR="003C58C4">
        <w:rPr>
          <w:lang w:eastAsia="zh-CN"/>
        </w:rPr>
        <w:t xml:space="preserve">, and take </w:t>
      </w:r>
      <w:r w:rsidR="003C58C4" w:rsidRPr="00045108">
        <w:rPr>
          <w:lang w:eastAsia="zh-CN"/>
        </w:rPr>
        <w:t>500 µs</w:t>
      </w:r>
      <w:r w:rsidR="003C58C4">
        <w:rPr>
          <w:lang w:eastAsia="zh-CN"/>
        </w:rPr>
        <w:t xml:space="preserve"> as lower bound</w:t>
      </w:r>
      <w:r w:rsidR="00E303F7">
        <w:rPr>
          <w:lang w:eastAsia="zh-CN"/>
        </w:rPr>
        <w:t>.</w:t>
      </w:r>
    </w:p>
    <w:p w:rsidR="000753F3" w:rsidRPr="006760E3" w:rsidRDefault="000753F3" w:rsidP="000753F3">
      <w:pPr>
        <w:pStyle w:val="a0"/>
        <w:rPr>
          <w:b/>
        </w:rPr>
      </w:pPr>
      <w:r w:rsidRPr="006760E3">
        <w:rPr>
          <w:b/>
          <w:lang w:eastAsia="zh-CN"/>
        </w:rPr>
        <w:t xml:space="preserve">Observation 1: </w:t>
      </w:r>
      <w:r w:rsidRPr="006760E3">
        <w:rPr>
          <w:b/>
        </w:rPr>
        <w:t xml:space="preserve">The lower end cycle time values of </w:t>
      </w:r>
      <w:proofErr w:type="spellStart"/>
      <w:r w:rsidRPr="006760E3">
        <w:rPr>
          <w:b/>
        </w:rPr>
        <w:t>EtherCAT</w:t>
      </w:r>
      <w:proofErr w:type="spellEnd"/>
      <w:r w:rsidRPr="006760E3">
        <w:rPr>
          <w:b/>
        </w:rPr>
        <w:t>, PROFINET IRT or 802.1Qbv below 500 µ</w:t>
      </w:r>
      <w:r w:rsidR="003C58C4">
        <w:rPr>
          <w:b/>
        </w:rPr>
        <w:t>s are not in the scope of this W</w:t>
      </w:r>
      <w:r w:rsidRPr="006760E3">
        <w:rPr>
          <w:b/>
        </w:rPr>
        <w:t>I.</w:t>
      </w:r>
    </w:p>
    <w:p w:rsidR="000753F3" w:rsidRDefault="000753F3" w:rsidP="000753F3">
      <w:pPr>
        <w:pStyle w:val="a0"/>
        <w:rPr>
          <w:b/>
          <w:lang w:eastAsia="zh-CN"/>
        </w:rPr>
      </w:pPr>
      <w:r>
        <w:rPr>
          <w:b/>
          <w:lang w:eastAsia="zh-CN"/>
        </w:rPr>
        <w:lastRenderedPageBreak/>
        <w:t>Observation 2</w:t>
      </w:r>
      <w:r w:rsidRPr="006760E3">
        <w:rPr>
          <w:b/>
          <w:lang w:eastAsia="zh-CN"/>
        </w:rPr>
        <w:t xml:space="preserve">: </w:t>
      </w:r>
      <w:r w:rsidR="003C58C4">
        <w:rPr>
          <w:b/>
          <w:lang w:eastAsia="zh-CN"/>
        </w:rPr>
        <w:t xml:space="preserve">In all use cases from TS 22.104, </w:t>
      </w:r>
      <w:r>
        <w:rPr>
          <w:b/>
          <w:lang w:eastAsia="zh-CN"/>
        </w:rPr>
        <w:t xml:space="preserve">the end-to-end latency </w:t>
      </w:r>
      <w:r w:rsidR="003C58C4">
        <w:rPr>
          <w:b/>
          <w:lang w:eastAsia="zh-CN"/>
        </w:rPr>
        <w:t>is</w:t>
      </w:r>
      <w:r>
        <w:rPr>
          <w:b/>
          <w:lang w:eastAsia="zh-CN"/>
        </w:rPr>
        <w:t xml:space="preserve"> smaller </w:t>
      </w:r>
      <w:r w:rsidR="000506FB">
        <w:rPr>
          <w:b/>
          <w:lang w:eastAsia="zh-CN"/>
        </w:rPr>
        <w:t xml:space="preserve">than </w:t>
      </w:r>
      <w:r>
        <w:rPr>
          <w:b/>
          <w:lang w:eastAsia="zh-CN"/>
        </w:rPr>
        <w:t xml:space="preserve">or </w:t>
      </w:r>
      <w:r w:rsidR="003C58C4">
        <w:rPr>
          <w:b/>
          <w:lang w:eastAsia="zh-CN"/>
        </w:rPr>
        <w:t>equal to</w:t>
      </w:r>
      <w:r>
        <w:rPr>
          <w:b/>
          <w:lang w:eastAsia="zh-CN"/>
        </w:rPr>
        <w:t xml:space="preserve"> the cycle time.</w:t>
      </w:r>
    </w:p>
    <w:p w:rsidR="000753F3" w:rsidRDefault="000753F3" w:rsidP="000753F3">
      <w:pPr>
        <w:pStyle w:val="20"/>
        <w:ind w:left="562" w:hanging="562"/>
      </w:pPr>
      <w:r>
        <w:rPr>
          <w:lang w:val="it-IT"/>
        </w:rPr>
        <w:t xml:space="preserve">Impact on </w:t>
      </w:r>
      <w:r w:rsidR="003C58C4">
        <w:rPr>
          <w:lang w:val="it-IT"/>
        </w:rPr>
        <w:t>SPS/</w:t>
      </w:r>
      <w:r>
        <w:rPr>
          <w:lang w:val="it-IT"/>
        </w:rPr>
        <w:t>CG periodicities</w:t>
      </w:r>
    </w:p>
    <w:p w:rsidR="000753F3" w:rsidRPr="00F71ACA" w:rsidRDefault="000753F3" w:rsidP="00E303F7">
      <w:pPr>
        <w:pStyle w:val="a0"/>
        <w:rPr>
          <w:lang w:eastAsia="zh-CN"/>
        </w:rPr>
      </w:pPr>
      <w:r>
        <w:rPr>
          <w:lang w:eastAsia="zh-CN"/>
        </w:rPr>
        <w:t xml:space="preserve">As discussed in Section </w:t>
      </w:r>
      <w:r>
        <w:rPr>
          <w:lang w:eastAsia="zh-CN"/>
        </w:rPr>
        <w:fldChar w:fldCharType="begin"/>
      </w:r>
      <w:r>
        <w:rPr>
          <w:lang w:eastAsia="zh-CN"/>
        </w:rPr>
        <w:instrText xml:space="preserve"> REF _Ref901712 \r \h </w:instrText>
      </w:r>
      <w:r>
        <w:rPr>
          <w:lang w:eastAsia="zh-CN"/>
        </w:rPr>
      </w:r>
      <w:r>
        <w:rPr>
          <w:lang w:eastAsia="zh-CN"/>
        </w:rPr>
        <w:fldChar w:fldCharType="separate"/>
      </w:r>
      <w:r>
        <w:rPr>
          <w:lang w:eastAsia="zh-CN"/>
        </w:rPr>
        <w:t>2.1</w:t>
      </w:r>
      <w:r>
        <w:rPr>
          <w:lang w:eastAsia="zh-CN"/>
        </w:rPr>
        <w:fldChar w:fldCharType="end"/>
      </w:r>
      <w:r>
        <w:rPr>
          <w:lang w:eastAsia="zh-CN"/>
        </w:rPr>
        <w:t xml:space="preserve">, we </w:t>
      </w:r>
      <w:r w:rsidR="00E303F7">
        <w:rPr>
          <w:lang w:eastAsia="zh-CN"/>
        </w:rPr>
        <w:t>only need t</w:t>
      </w:r>
      <w:r>
        <w:rPr>
          <w:lang w:eastAsia="zh-CN"/>
        </w:rPr>
        <w:t xml:space="preserve">o consider </w:t>
      </w:r>
      <w:r w:rsidR="00E303F7">
        <w:rPr>
          <w:lang w:eastAsia="zh-CN"/>
        </w:rPr>
        <w:t xml:space="preserve">the case where </w:t>
      </w:r>
      <w:r w:rsidRPr="00921B35">
        <w:rPr>
          <w:lang w:val="en-GB" w:eastAsia="zh-CN"/>
        </w:rPr>
        <w:t xml:space="preserve">the </w:t>
      </w:r>
      <w:r>
        <w:rPr>
          <w:lang w:val="en-GB" w:eastAsia="zh-CN"/>
        </w:rPr>
        <w:t>end-to-end</w:t>
      </w:r>
      <w:r w:rsidRPr="00921B35">
        <w:rPr>
          <w:lang w:val="en-GB" w:eastAsia="zh-CN"/>
        </w:rPr>
        <w:t xml:space="preserve"> latency is </w:t>
      </w:r>
      <w:r w:rsidR="00E303F7">
        <w:rPr>
          <w:lang w:val="en-GB" w:eastAsia="zh-CN"/>
        </w:rPr>
        <w:t>smaller</w:t>
      </w:r>
      <w:r>
        <w:rPr>
          <w:lang w:val="en-GB" w:eastAsia="zh-CN"/>
        </w:rPr>
        <w:t xml:space="preserve"> </w:t>
      </w:r>
      <w:r w:rsidRPr="00921B35">
        <w:rPr>
          <w:lang w:val="en-GB" w:eastAsia="zh-CN"/>
        </w:rPr>
        <w:t xml:space="preserve">than </w:t>
      </w:r>
      <w:r w:rsidR="000506FB">
        <w:rPr>
          <w:lang w:val="en-GB" w:eastAsia="zh-CN"/>
        </w:rPr>
        <w:t xml:space="preserve">or equal </w:t>
      </w:r>
      <w:r w:rsidRPr="00921B35">
        <w:rPr>
          <w:lang w:val="en-GB" w:eastAsia="zh-CN"/>
        </w:rPr>
        <w:t>the cycle time</w:t>
      </w:r>
      <w:r>
        <w:rPr>
          <w:lang w:val="en-GB" w:eastAsia="zh-CN"/>
        </w:rPr>
        <w:t>.</w:t>
      </w:r>
      <w:r>
        <w:rPr>
          <w:lang w:eastAsia="zh-CN"/>
        </w:rPr>
        <w:t xml:space="preserve"> In such case, </w:t>
      </w:r>
      <w:r>
        <w:rPr>
          <w:lang w:val="en-GB" w:eastAsia="zh-CN"/>
        </w:rPr>
        <w:t>t</w:t>
      </w:r>
      <w:r w:rsidRPr="00F71ACA">
        <w:rPr>
          <w:lang w:val="en-GB" w:eastAsia="zh-CN"/>
        </w:rPr>
        <w:t xml:space="preserve">he solution consists in oversampling the cycle time with SPS/CGs </w:t>
      </w:r>
      <w:r>
        <w:rPr>
          <w:lang w:val="en-GB" w:eastAsia="zh-CN"/>
        </w:rPr>
        <w:t xml:space="preserve">resources </w:t>
      </w:r>
      <w:r w:rsidRPr="00F71ACA">
        <w:rPr>
          <w:lang w:val="en-GB" w:eastAsia="zh-CN"/>
        </w:rPr>
        <w:t xml:space="preserve">and </w:t>
      </w:r>
      <w:r>
        <w:rPr>
          <w:lang w:val="en-GB" w:eastAsia="zh-CN"/>
        </w:rPr>
        <w:t xml:space="preserve">to use only one SPS/CG out of N. </w:t>
      </w:r>
      <w:r w:rsidRPr="00F71ACA">
        <w:rPr>
          <w:lang w:val="en-GB" w:eastAsia="zh-CN"/>
        </w:rPr>
        <w:t xml:space="preserve">The (oversampling) SPS/CG periodicity is chosen to meet the </w:t>
      </w:r>
      <w:r>
        <w:rPr>
          <w:lang w:val="en-GB" w:eastAsia="zh-CN"/>
        </w:rPr>
        <w:t>end-to-end</w:t>
      </w:r>
      <w:r w:rsidRPr="00F71ACA">
        <w:rPr>
          <w:lang w:val="en-GB" w:eastAsia="zh-CN"/>
        </w:rPr>
        <w:t xml:space="preserve"> latency requirement, rather than the cycle time.</w:t>
      </w:r>
    </w:p>
    <w:p w:rsidR="000753F3" w:rsidRPr="00636883" w:rsidRDefault="000753F3" w:rsidP="000753F3">
      <w:pPr>
        <w:pStyle w:val="a0"/>
        <w:rPr>
          <w:lang w:eastAsia="zh-CN"/>
        </w:rPr>
      </w:pPr>
      <w:r w:rsidRPr="00636883">
        <w:rPr>
          <w:lang w:val="en-GB" w:eastAsia="zh-CN"/>
        </w:rPr>
        <w:t xml:space="preserve">Let’s take an example: cycle time = 0.6ms; </w:t>
      </w:r>
      <w:r>
        <w:rPr>
          <w:lang w:val="en-GB" w:eastAsia="zh-CN"/>
        </w:rPr>
        <w:t>end-to-end</w:t>
      </w:r>
      <w:r w:rsidRPr="00636883">
        <w:rPr>
          <w:lang w:val="en-GB" w:eastAsia="zh-CN"/>
        </w:rPr>
        <w:t xml:space="preserve"> latency = 0.5ms</w:t>
      </w:r>
      <w:r>
        <w:rPr>
          <w:lang w:val="en-GB" w:eastAsia="zh-CN"/>
        </w:rPr>
        <w:t xml:space="preserve">. As shown in </w:t>
      </w:r>
      <w:r w:rsidRPr="00636883">
        <w:rPr>
          <w:lang w:val="en-GB" w:eastAsia="zh-CN"/>
        </w:rPr>
        <w:fldChar w:fldCharType="begin"/>
      </w:r>
      <w:r w:rsidRPr="00636883">
        <w:rPr>
          <w:lang w:val="en-GB" w:eastAsia="zh-CN"/>
        </w:rPr>
        <w:instrText xml:space="preserve"> REF _Ref902562 \h  \* MERGEFORMAT </w:instrText>
      </w:r>
      <w:r w:rsidRPr="00636883">
        <w:rPr>
          <w:lang w:val="en-GB" w:eastAsia="zh-CN"/>
        </w:rPr>
      </w:r>
      <w:r w:rsidRPr="00636883">
        <w:rPr>
          <w:lang w:val="en-GB" w:eastAsia="zh-CN"/>
        </w:rPr>
        <w:fldChar w:fldCharType="separate"/>
      </w:r>
      <w:r w:rsidRPr="00636883">
        <w:t xml:space="preserve">Figure </w:t>
      </w:r>
      <w:r w:rsidRPr="00636883">
        <w:rPr>
          <w:noProof/>
        </w:rPr>
        <w:t>2</w:t>
      </w:r>
      <w:r w:rsidRPr="00636883">
        <w:rPr>
          <w:lang w:val="en-GB" w:eastAsia="zh-CN"/>
        </w:rPr>
        <w:fldChar w:fldCharType="end"/>
      </w:r>
      <w:r>
        <w:rPr>
          <w:lang w:val="en-GB" w:eastAsia="zh-CN"/>
        </w:rPr>
        <w:t xml:space="preserve">, such </w:t>
      </w:r>
      <w:proofErr w:type="spellStart"/>
      <w:r>
        <w:rPr>
          <w:lang w:val="en-GB" w:eastAsia="zh-CN"/>
        </w:rPr>
        <w:t>usecase</w:t>
      </w:r>
      <w:proofErr w:type="spellEnd"/>
      <w:r>
        <w:rPr>
          <w:lang w:val="en-GB" w:eastAsia="zh-CN"/>
        </w:rPr>
        <w:t xml:space="preserve"> can be addressed with the following periodicities for the different numerology cases: </w:t>
      </w:r>
    </w:p>
    <w:p w:rsidR="000753F3" w:rsidRDefault="000753F3" w:rsidP="000753F3">
      <w:pPr>
        <w:pStyle w:val="a0"/>
        <w:numPr>
          <w:ilvl w:val="0"/>
          <w:numId w:val="15"/>
        </w:numPr>
        <w:rPr>
          <w:lang w:eastAsia="zh-CN"/>
        </w:rPr>
      </w:pPr>
      <w:r w:rsidRPr="00F71ACA">
        <w:rPr>
          <w:lang w:val="en-GB" w:eastAsia="zh-CN"/>
        </w:rPr>
        <w:t>@ 15kHz numerology, SPS/CG periodicity = 2 symbols ≈ 143 µs</w:t>
      </w:r>
      <w:r>
        <w:rPr>
          <w:lang w:val="en-GB" w:eastAsia="zh-CN"/>
        </w:rPr>
        <w:t>, N = 4;</w:t>
      </w:r>
    </w:p>
    <w:p w:rsidR="000753F3" w:rsidRDefault="000753F3" w:rsidP="000753F3">
      <w:pPr>
        <w:pStyle w:val="a0"/>
        <w:numPr>
          <w:ilvl w:val="0"/>
          <w:numId w:val="15"/>
        </w:numPr>
        <w:rPr>
          <w:lang w:eastAsia="zh-CN"/>
        </w:rPr>
      </w:pPr>
      <w:r w:rsidRPr="00636883">
        <w:rPr>
          <w:lang w:val="en-GB" w:eastAsia="zh-CN"/>
        </w:rPr>
        <w:t>@ 30kHz numerology, SPS/CG periodicity = 7 symbols = 250 µs</w:t>
      </w:r>
      <w:r>
        <w:rPr>
          <w:lang w:val="en-GB" w:eastAsia="zh-CN"/>
        </w:rPr>
        <w:t>, N = 2;</w:t>
      </w:r>
    </w:p>
    <w:p w:rsidR="000753F3" w:rsidRPr="00F71ACA" w:rsidRDefault="000753F3" w:rsidP="000753F3">
      <w:pPr>
        <w:pStyle w:val="a0"/>
        <w:numPr>
          <w:ilvl w:val="0"/>
          <w:numId w:val="15"/>
        </w:numPr>
        <w:rPr>
          <w:lang w:eastAsia="zh-CN"/>
        </w:rPr>
      </w:pPr>
      <w:r w:rsidRPr="00636883">
        <w:rPr>
          <w:lang w:val="en-GB" w:eastAsia="zh-CN"/>
        </w:rPr>
        <w:t>@ 60kHz numerology, SPS/CG periodicity = 7 symbols = 125 µs</w:t>
      </w:r>
      <w:r>
        <w:rPr>
          <w:lang w:val="en-GB" w:eastAsia="zh-CN"/>
        </w:rPr>
        <w:t>, N = 5;</w:t>
      </w:r>
    </w:p>
    <w:p w:rsidR="000753F3" w:rsidRPr="00F71ACA" w:rsidRDefault="000753F3" w:rsidP="000753F3">
      <w:pPr>
        <w:pStyle w:val="a0"/>
        <w:rPr>
          <w:lang w:eastAsia="zh-CN"/>
        </w:rPr>
      </w:pPr>
      <w:r>
        <w:rPr>
          <w:lang w:val="en-GB" w:eastAsia="zh-CN"/>
        </w:rPr>
        <w:t>Then the question is: w</w:t>
      </w:r>
      <w:r w:rsidRPr="00F71ACA">
        <w:rPr>
          <w:lang w:val="en-GB" w:eastAsia="zh-CN"/>
        </w:rPr>
        <w:t>hat to do with unused SPS/CG resources to avoid spectral waste?</w:t>
      </w:r>
    </w:p>
    <w:p w:rsidR="000753F3" w:rsidRPr="00F71ACA" w:rsidRDefault="000753F3" w:rsidP="000753F3">
      <w:pPr>
        <w:pStyle w:val="a0"/>
        <w:rPr>
          <w:lang w:eastAsia="zh-CN"/>
        </w:rPr>
      </w:pPr>
      <w:r w:rsidRPr="00F71ACA">
        <w:rPr>
          <w:lang w:val="en-GB" w:eastAsia="zh-CN"/>
        </w:rPr>
        <w:t>Without chang</w:t>
      </w:r>
      <w:r>
        <w:rPr>
          <w:lang w:val="en-GB" w:eastAsia="zh-CN"/>
        </w:rPr>
        <w:t>ing</w:t>
      </w:r>
      <w:r w:rsidRPr="00F71ACA">
        <w:rPr>
          <w:lang w:val="en-GB" w:eastAsia="zh-CN"/>
        </w:rPr>
        <w:t xml:space="preserve"> </w:t>
      </w:r>
      <w:r>
        <w:rPr>
          <w:lang w:val="en-GB" w:eastAsia="zh-CN"/>
        </w:rPr>
        <w:t>the</w:t>
      </w:r>
      <w:r w:rsidRPr="00F71ACA">
        <w:rPr>
          <w:lang w:val="en-GB" w:eastAsia="zh-CN"/>
        </w:rPr>
        <w:t xml:space="preserve"> legacy CG configuration, the unused CGs will be skipped</w:t>
      </w:r>
      <w:r>
        <w:rPr>
          <w:lang w:eastAsia="zh-CN"/>
        </w:rPr>
        <w:t xml:space="preserve">. Then </w:t>
      </w:r>
      <w:r>
        <w:rPr>
          <w:lang w:val="en-GB" w:eastAsia="zh-CN"/>
        </w:rPr>
        <w:t>t</w:t>
      </w:r>
      <w:r w:rsidRPr="00F71ACA">
        <w:rPr>
          <w:lang w:val="en-GB" w:eastAsia="zh-CN"/>
        </w:rPr>
        <w:t>heir resource can be re-used by other CGs or by dynamic scheduling (see intra-UE multiplexing and prioritization</w:t>
      </w:r>
      <w:r>
        <w:rPr>
          <w:lang w:val="en-GB" w:eastAsia="zh-CN"/>
        </w:rPr>
        <w:t xml:space="preserve"> solutions</w:t>
      </w:r>
      <w:r w:rsidRPr="00F71ACA">
        <w:rPr>
          <w:lang w:val="en-GB" w:eastAsia="zh-CN"/>
        </w:rPr>
        <w:t>).</w:t>
      </w:r>
    </w:p>
    <w:p w:rsidR="000506FB" w:rsidRDefault="000753F3" w:rsidP="000753F3">
      <w:pPr>
        <w:pStyle w:val="a0"/>
        <w:rPr>
          <w:lang w:val="en-GB" w:eastAsia="zh-CN"/>
        </w:rPr>
      </w:pPr>
      <w:r w:rsidRPr="00F71ACA">
        <w:rPr>
          <w:lang w:val="en-GB" w:eastAsia="zh-CN"/>
        </w:rPr>
        <w:t xml:space="preserve">Another option is to </w:t>
      </w:r>
      <w:r>
        <w:rPr>
          <w:lang w:val="en-GB" w:eastAsia="zh-CN"/>
        </w:rPr>
        <w:t>upgrade</w:t>
      </w:r>
      <w:r w:rsidRPr="00F71ACA">
        <w:rPr>
          <w:lang w:val="en-GB" w:eastAsia="zh-CN"/>
        </w:rPr>
        <w:t xml:space="preserve"> the SPS/CG configuration by </w:t>
      </w:r>
      <w:r>
        <w:rPr>
          <w:lang w:val="en-GB" w:eastAsia="zh-CN"/>
        </w:rPr>
        <w:t xml:space="preserve">indicating the </w:t>
      </w:r>
      <w:r w:rsidRPr="00F71ACA">
        <w:rPr>
          <w:lang w:val="en-GB" w:eastAsia="zh-CN"/>
        </w:rPr>
        <w:t xml:space="preserve">“modulo N” </w:t>
      </w:r>
      <w:r>
        <w:rPr>
          <w:lang w:val="en-GB" w:eastAsia="zh-CN"/>
        </w:rPr>
        <w:t xml:space="preserve">to the UE so it </w:t>
      </w:r>
      <w:r w:rsidRPr="00F71ACA">
        <w:rPr>
          <w:lang w:val="en-GB" w:eastAsia="zh-CN"/>
        </w:rPr>
        <w:t>only conside</w:t>
      </w:r>
      <w:r>
        <w:rPr>
          <w:lang w:val="en-GB" w:eastAsia="zh-CN"/>
        </w:rPr>
        <w:t>rs one SPS/CG resource every N</w:t>
      </w:r>
      <w:r w:rsidRPr="00F71ACA">
        <w:rPr>
          <w:lang w:val="en-GB" w:eastAsia="zh-CN"/>
        </w:rPr>
        <w:t>.</w:t>
      </w:r>
      <w:r>
        <w:rPr>
          <w:lang w:val="en-GB" w:eastAsia="zh-CN"/>
        </w:rPr>
        <w:t xml:space="preserve"> This is already supported by the current specification for slot periods, but not for 2-symbol or 7-symbol periods. Hen</w:t>
      </w:r>
      <w:r w:rsidR="000506FB">
        <w:rPr>
          <w:lang w:val="en-GB" w:eastAsia="zh-CN"/>
        </w:rPr>
        <w:t>ce, all needs to be upgraded is:</w:t>
      </w:r>
    </w:p>
    <w:p w:rsidR="000753F3" w:rsidRDefault="00EB54A0" w:rsidP="000506FB">
      <w:pPr>
        <w:pStyle w:val="a0"/>
        <w:numPr>
          <w:ilvl w:val="0"/>
          <w:numId w:val="24"/>
        </w:numPr>
        <w:rPr>
          <w:lang w:val="en-GB" w:eastAsia="zh-CN"/>
        </w:rPr>
      </w:pPr>
      <w:r>
        <w:rPr>
          <w:lang w:val="en-GB" w:eastAsia="zh-CN"/>
        </w:rPr>
        <w:t>S</w:t>
      </w:r>
      <w:r w:rsidR="000753F3">
        <w:rPr>
          <w:lang w:val="en-GB" w:eastAsia="zh-CN"/>
        </w:rPr>
        <w:t>upport</w:t>
      </w:r>
      <w:r>
        <w:rPr>
          <w:lang w:val="en-GB" w:eastAsia="zh-CN"/>
        </w:rPr>
        <w:t>ing</w:t>
      </w:r>
      <w:r w:rsidR="000753F3">
        <w:rPr>
          <w:lang w:val="en-GB" w:eastAsia="zh-CN"/>
        </w:rPr>
        <w:t xml:space="preserve"> of periodicities expressed as </w:t>
      </w:r>
      <w:r w:rsidRPr="00EB54A0">
        <w:rPr>
          <w:i/>
          <w:lang w:val="en-GB" w:eastAsia="zh-CN"/>
        </w:rPr>
        <w:t>n</w:t>
      </w:r>
      <w:r w:rsidR="000753F3">
        <w:rPr>
          <w:lang w:val="en-GB" w:eastAsia="zh-CN"/>
        </w:rPr>
        <w:t xml:space="preserve">*(2-symbols) and </w:t>
      </w:r>
      <w:r w:rsidRPr="00EB54A0">
        <w:rPr>
          <w:i/>
          <w:lang w:val="en-GB" w:eastAsia="zh-CN"/>
        </w:rPr>
        <w:t>n</w:t>
      </w:r>
      <w:r>
        <w:rPr>
          <w:lang w:val="en-GB" w:eastAsia="zh-CN"/>
        </w:rPr>
        <w:t>*(7-symbols);</w:t>
      </w:r>
    </w:p>
    <w:p w:rsidR="00E5593A" w:rsidRPr="00E5593A" w:rsidRDefault="00EB54A0" w:rsidP="00E5593A">
      <w:pPr>
        <w:pStyle w:val="af"/>
        <w:numPr>
          <w:ilvl w:val="0"/>
          <w:numId w:val="24"/>
        </w:numPr>
        <w:rPr>
          <w:szCs w:val="24"/>
          <w:lang w:eastAsia="zh-CN"/>
        </w:rPr>
      </w:pPr>
      <w:r w:rsidRPr="00E5593A">
        <w:rPr>
          <w:lang w:eastAsia="zh-CN"/>
        </w:rPr>
        <w:t xml:space="preserve">Allowing finer </w:t>
      </w:r>
      <w:r w:rsidR="00E5593A">
        <w:rPr>
          <w:lang w:eastAsia="zh-CN"/>
        </w:rPr>
        <w:t>granularity for n in the lower range.</w:t>
      </w:r>
    </w:p>
    <w:p w:rsidR="00E5593A" w:rsidRDefault="00E5593A" w:rsidP="00E5593A">
      <w:pPr>
        <w:rPr>
          <w:lang w:eastAsia="zh-CN"/>
        </w:rPr>
      </w:pPr>
      <w:r>
        <w:rPr>
          <w:lang w:eastAsia="zh-CN"/>
        </w:rPr>
        <w:t xml:space="preserve">For example, </w:t>
      </w:r>
      <w:r w:rsidRPr="00E5593A">
        <w:rPr>
          <w:lang w:eastAsia="zh-CN"/>
        </w:rPr>
        <w:t xml:space="preserve">Rel-16 SPS/CG periodicity </w:t>
      </w:r>
      <w:r>
        <w:rPr>
          <w:lang w:eastAsia="zh-CN"/>
        </w:rPr>
        <w:t>can be defined as:</w:t>
      </w:r>
    </w:p>
    <w:p w:rsidR="00E5593A" w:rsidRPr="00E5593A" w:rsidRDefault="00E5593A" w:rsidP="00E5593A">
      <w:pPr>
        <w:rPr>
          <w:lang w:eastAsia="zh-CN"/>
        </w:rPr>
      </w:pPr>
      <w:r w:rsidRPr="00E5593A">
        <w:rPr>
          <w:i/>
          <w:lang w:eastAsia="zh-CN"/>
        </w:rPr>
        <w:t>n</w:t>
      </w:r>
      <w:r w:rsidRPr="00E5593A">
        <w:rPr>
          <w:lang w:eastAsia="zh-CN"/>
        </w:rPr>
        <w:t xml:space="preserve">*2, </w:t>
      </w:r>
      <w:r w:rsidRPr="00E5593A">
        <w:rPr>
          <w:i/>
          <w:lang w:eastAsia="zh-CN"/>
        </w:rPr>
        <w:t>n</w:t>
      </w:r>
      <w:r w:rsidRPr="00E5593A">
        <w:rPr>
          <w:lang w:eastAsia="zh-CN"/>
        </w:rPr>
        <w:t xml:space="preserve">*7, </w:t>
      </w:r>
      <w:r w:rsidRPr="00E5593A">
        <w:rPr>
          <w:i/>
          <w:lang w:eastAsia="zh-CN"/>
        </w:rPr>
        <w:t>n</w:t>
      </w:r>
      <w:r w:rsidRPr="00E5593A">
        <w:rPr>
          <w:lang w:eastAsia="zh-CN"/>
        </w:rPr>
        <w:t xml:space="preserve">*14 symbols; </w:t>
      </w:r>
      <w:r w:rsidRPr="00E5593A">
        <w:rPr>
          <w:i/>
          <w:lang w:eastAsia="zh-CN"/>
        </w:rPr>
        <w:t>n</w:t>
      </w:r>
      <w:r w:rsidRPr="00E5593A">
        <w:rPr>
          <w:lang w:eastAsia="zh-CN"/>
        </w:rPr>
        <w:t>={1, 2, 3, 4, 5, 6, 7, 8, 9, 10, 11, 12, 13, 14, 15, 16, 17, 18, 19, 20, 21, 22, 23, 24, 32, 40, 64, 80, 128, 160, 320, 640} (for ex. for 15kHz).</w:t>
      </w:r>
    </w:p>
    <w:p w:rsidR="00E5593A" w:rsidRPr="004C6D68" w:rsidRDefault="00E5593A" w:rsidP="000753F3">
      <w:pPr>
        <w:pStyle w:val="a0"/>
        <w:rPr>
          <w:b/>
          <w:lang w:eastAsia="zh-CN"/>
        </w:rPr>
      </w:pPr>
    </w:p>
    <w:p w:rsidR="000753F3" w:rsidRDefault="000753F3" w:rsidP="000753F3">
      <w:pPr>
        <w:rPr>
          <w:lang w:eastAsia="zh-CN"/>
        </w:rPr>
      </w:pPr>
      <w:r>
        <w:rPr>
          <w:lang w:eastAsia="zh-CN"/>
        </w:rPr>
        <w:object w:dxaOrig="14871" w:dyaOrig="8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pt;height:221.95pt" o:ole="">
            <v:imagedata r:id="rId9" o:title=""/>
          </v:shape>
          <o:OLEObject Type="Embed" ProgID="Visio.Drawing.11" ShapeID="_x0000_i1025" DrawAspect="Content" ObjectID="_1615365166" r:id="rId10"/>
        </w:object>
      </w:r>
    </w:p>
    <w:p w:rsidR="000753F3" w:rsidRDefault="000753F3" w:rsidP="000753F3">
      <w:pPr>
        <w:pStyle w:val="a5"/>
        <w:keepNext/>
        <w:keepLines/>
        <w:spacing w:after="240"/>
        <w:jc w:val="center"/>
        <w:rPr>
          <w:b/>
          <w:lang w:eastAsia="zh-CN"/>
        </w:rPr>
      </w:pPr>
      <w:bookmarkStart w:id="9" w:name="_Ref902562"/>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2</w:t>
      </w:r>
      <w:r w:rsidRPr="000A60DD">
        <w:rPr>
          <w:b/>
        </w:rPr>
        <w:fldChar w:fldCharType="end"/>
      </w:r>
      <w:bookmarkEnd w:id="9"/>
      <w:r>
        <w:rPr>
          <w:b/>
        </w:rPr>
        <w:t>:</w:t>
      </w:r>
      <w:r w:rsidRPr="000A60DD">
        <w:rPr>
          <w:rFonts w:hint="eastAsia"/>
          <w:b/>
          <w:lang w:eastAsia="zh-CN"/>
        </w:rPr>
        <w:t xml:space="preserve"> </w:t>
      </w:r>
      <w:r>
        <w:rPr>
          <w:b/>
          <w:lang w:eastAsia="zh-CN"/>
        </w:rPr>
        <w:t>T</w:t>
      </w:r>
      <w:r w:rsidRPr="00F71ACA">
        <w:rPr>
          <w:b/>
          <w:lang w:eastAsia="zh-CN"/>
        </w:rPr>
        <w:t xml:space="preserve">he </w:t>
      </w:r>
      <w:r>
        <w:rPr>
          <w:b/>
          <w:lang w:eastAsia="zh-CN"/>
        </w:rPr>
        <w:t>end-to-end</w:t>
      </w:r>
      <w:r w:rsidRPr="00F71ACA">
        <w:rPr>
          <w:b/>
          <w:lang w:eastAsia="zh-CN"/>
        </w:rPr>
        <w:t xml:space="preserve"> latency is </w:t>
      </w:r>
      <w:r>
        <w:rPr>
          <w:b/>
          <w:lang w:eastAsia="zh-CN"/>
        </w:rPr>
        <w:t xml:space="preserve">smaller </w:t>
      </w:r>
      <w:r w:rsidRPr="00F71ACA">
        <w:rPr>
          <w:b/>
          <w:lang w:eastAsia="zh-CN"/>
        </w:rPr>
        <w:t>than the cycle time</w:t>
      </w:r>
    </w:p>
    <w:p w:rsidR="00E5593A" w:rsidRDefault="00E5593A" w:rsidP="00E5593A">
      <w:pPr>
        <w:pStyle w:val="a0"/>
        <w:rPr>
          <w:lang w:val="en-GB" w:eastAsia="zh-CN"/>
        </w:rPr>
      </w:pPr>
    </w:p>
    <w:p w:rsidR="00E5593A" w:rsidRPr="00E5593A" w:rsidRDefault="00E5593A" w:rsidP="00E5593A">
      <w:pPr>
        <w:pStyle w:val="a0"/>
        <w:rPr>
          <w:b/>
          <w:lang w:val="en-GB" w:eastAsia="zh-CN"/>
        </w:rPr>
      </w:pPr>
      <w:r w:rsidRPr="004C6D68">
        <w:rPr>
          <w:b/>
          <w:lang w:val="en-GB" w:eastAsia="zh-CN"/>
        </w:rPr>
        <w:t>Proposal</w:t>
      </w:r>
      <w:r>
        <w:rPr>
          <w:b/>
          <w:lang w:val="en-GB" w:eastAsia="zh-CN"/>
        </w:rPr>
        <w:t xml:space="preserve"> 2</w:t>
      </w:r>
      <w:r w:rsidRPr="004C6D68">
        <w:rPr>
          <w:b/>
          <w:lang w:val="en-GB" w:eastAsia="zh-CN"/>
        </w:rPr>
        <w:t xml:space="preserve">: </w:t>
      </w:r>
      <w:r>
        <w:rPr>
          <w:b/>
          <w:lang w:eastAsia="zh-CN"/>
        </w:rPr>
        <w:t>Rel-16</w:t>
      </w:r>
      <w:r w:rsidRPr="004C6D68">
        <w:rPr>
          <w:b/>
          <w:lang w:eastAsia="zh-CN"/>
        </w:rPr>
        <w:t xml:space="preserve"> SPS/CG periodicity is defined as </w:t>
      </w:r>
      <w:r w:rsidRPr="004C6D68">
        <w:rPr>
          <w:b/>
          <w:u w:val="single"/>
          <w:lang w:eastAsia="zh-CN"/>
        </w:rPr>
        <w:t>n</w:t>
      </w:r>
      <w:r w:rsidRPr="004C6D68">
        <w:rPr>
          <w:b/>
          <w:lang w:eastAsia="zh-CN"/>
        </w:rPr>
        <w:t>*</w:t>
      </w:r>
      <w:r w:rsidRPr="004C6D68">
        <w:rPr>
          <w:b/>
          <w:lang w:val="en-GB" w:eastAsia="zh-CN"/>
        </w:rPr>
        <w:t xml:space="preserve">2, </w:t>
      </w:r>
      <w:r w:rsidRPr="004C6D68">
        <w:rPr>
          <w:b/>
          <w:u w:val="single"/>
          <w:lang w:val="en-GB" w:eastAsia="zh-CN"/>
        </w:rPr>
        <w:t>n</w:t>
      </w:r>
      <w:r w:rsidRPr="004C6D68">
        <w:rPr>
          <w:b/>
          <w:lang w:val="en-GB" w:eastAsia="zh-CN"/>
        </w:rPr>
        <w:t>*7, n*14 symbols</w:t>
      </w:r>
      <w:r>
        <w:rPr>
          <w:b/>
          <w:lang w:val="en-GB" w:eastAsia="zh-CN"/>
        </w:rPr>
        <w:t xml:space="preserve"> with finer granularity of n in the lower range compared to Rel-15.</w:t>
      </w:r>
    </w:p>
    <w:p w:rsidR="000753F3" w:rsidRDefault="000753F3" w:rsidP="000753F3">
      <w:pPr>
        <w:pStyle w:val="1"/>
        <w:jc w:val="both"/>
      </w:pPr>
      <w:r>
        <w:lastRenderedPageBreak/>
        <w:t>Conclusion</w:t>
      </w:r>
    </w:p>
    <w:p w:rsidR="000753F3" w:rsidRDefault="000753F3" w:rsidP="000753F3">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 the need to upgrade the existing SPS/CG periodicities in support of the flexible TSN traffic cycle times and end-to-end latency. The resulting observations and proposals are as follows:</w:t>
      </w:r>
    </w:p>
    <w:p w:rsidR="00E5593A" w:rsidRDefault="00E5593A" w:rsidP="00E5593A">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w:t>
      </w:r>
      <w:r>
        <w:rPr>
          <w:rFonts w:eastAsiaTheme="minorEastAsia"/>
          <w:b/>
          <w:lang w:eastAsia="zh-CN"/>
        </w:rPr>
        <w:t>SPS</w:t>
      </w:r>
      <w:r w:rsidRPr="0054325E">
        <w:rPr>
          <w:rFonts w:eastAsiaTheme="minorEastAsia"/>
          <w:b/>
          <w:lang w:eastAsia="zh-CN"/>
        </w:rPr>
        <w:t xml:space="preserve"> </w:t>
      </w:r>
      <w:r>
        <w:rPr>
          <w:rFonts w:eastAsiaTheme="minorEastAsia"/>
          <w:b/>
          <w:lang w:eastAsia="zh-CN"/>
        </w:rPr>
        <w:t>and CG periodicities are identically upgraded in Rel-16.</w:t>
      </w:r>
    </w:p>
    <w:p w:rsidR="00E5593A" w:rsidRPr="006760E3" w:rsidRDefault="00E5593A" w:rsidP="00E5593A">
      <w:pPr>
        <w:pStyle w:val="a0"/>
        <w:rPr>
          <w:b/>
        </w:rPr>
      </w:pPr>
      <w:r w:rsidRPr="006760E3">
        <w:rPr>
          <w:b/>
          <w:lang w:eastAsia="zh-CN"/>
        </w:rPr>
        <w:t xml:space="preserve">Observation 1: </w:t>
      </w:r>
      <w:r w:rsidRPr="006760E3">
        <w:rPr>
          <w:b/>
        </w:rPr>
        <w:t xml:space="preserve">The lower end cycle time values of </w:t>
      </w:r>
      <w:proofErr w:type="spellStart"/>
      <w:r w:rsidRPr="006760E3">
        <w:rPr>
          <w:b/>
        </w:rPr>
        <w:t>EtherCAT</w:t>
      </w:r>
      <w:proofErr w:type="spellEnd"/>
      <w:r w:rsidRPr="006760E3">
        <w:rPr>
          <w:b/>
        </w:rPr>
        <w:t>, PROFINET IRT or 802.1Qbv below 500 µ</w:t>
      </w:r>
      <w:r>
        <w:rPr>
          <w:b/>
        </w:rPr>
        <w:t>s are not in the scope of this W</w:t>
      </w:r>
      <w:r w:rsidRPr="006760E3">
        <w:rPr>
          <w:b/>
        </w:rPr>
        <w:t>I.</w:t>
      </w:r>
    </w:p>
    <w:p w:rsidR="00E5593A" w:rsidRDefault="00E5593A" w:rsidP="00E5593A">
      <w:pPr>
        <w:pStyle w:val="a0"/>
        <w:rPr>
          <w:b/>
          <w:lang w:eastAsia="zh-CN"/>
        </w:rPr>
      </w:pPr>
      <w:r>
        <w:rPr>
          <w:b/>
          <w:lang w:eastAsia="zh-CN"/>
        </w:rPr>
        <w:t>Observation 2</w:t>
      </w:r>
      <w:r w:rsidRPr="006760E3">
        <w:rPr>
          <w:b/>
          <w:lang w:eastAsia="zh-CN"/>
        </w:rPr>
        <w:t xml:space="preserve">: </w:t>
      </w:r>
      <w:r>
        <w:rPr>
          <w:b/>
          <w:lang w:eastAsia="zh-CN"/>
        </w:rPr>
        <w:t>In all use cases from TS 22.104, the end-to-end latency is smaller than or equal to the cycle time.</w:t>
      </w:r>
    </w:p>
    <w:p w:rsidR="00E5593A" w:rsidRPr="00E5593A" w:rsidRDefault="00E5593A" w:rsidP="00E5593A">
      <w:pPr>
        <w:pStyle w:val="a0"/>
        <w:rPr>
          <w:b/>
          <w:lang w:val="en-GB" w:eastAsia="zh-CN"/>
        </w:rPr>
      </w:pPr>
      <w:r w:rsidRPr="004C6D68">
        <w:rPr>
          <w:b/>
          <w:lang w:val="en-GB" w:eastAsia="zh-CN"/>
        </w:rPr>
        <w:t>Proposal</w:t>
      </w:r>
      <w:r>
        <w:rPr>
          <w:b/>
          <w:lang w:val="en-GB" w:eastAsia="zh-CN"/>
        </w:rPr>
        <w:t xml:space="preserve"> 2</w:t>
      </w:r>
      <w:r w:rsidRPr="004C6D68">
        <w:rPr>
          <w:b/>
          <w:lang w:val="en-GB" w:eastAsia="zh-CN"/>
        </w:rPr>
        <w:t xml:space="preserve">: </w:t>
      </w:r>
      <w:r>
        <w:rPr>
          <w:b/>
          <w:lang w:eastAsia="zh-CN"/>
        </w:rPr>
        <w:t>Rel-16</w:t>
      </w:r>
      <w:r w:rsidRPr="004C6D68">
        <w:rPr>
          <w:b/>
          <w:lang w:eastAsia="zh-CN"/>
        </w:rPr>
        <w:t xml:space="preserve"> SPS/CG periodicity is defined as </w:t>
      </w:r>
      <w:r w:rsidRPr="004C6D68">
        <w:rPr>
          <w:b/>
          <w:u w:val="single"/>
          <w:lang w:eastAsia="zh-CN"/>
        </w:rPr>
        <w:t>n</w:t>
      </w:r>
      <w:r w:rsidRPr="004C6D68">
        <w:rPr>
          <w:b/>
          <w:lang w:eastAsia="zh-CN"/>
        </w:rPr>
        <w:t>*</w:t>
      </w:r>
      <w:r w:rsidRPr="004C6D68">
        <w:rPr>
          <w:b/>
          <w:lang w:val="en-GB" w:eastAsia="zh-CN"/>
        </w:rPr>
        <w:t xml:space="preserve">2, </w:t>
      </w:r>
      <w:r w:rsidRPr="004C6D68">
        <w:rPr>
          <w:b/>
          <w:u w:val="single"/>
          <w:lang w:val="en-GB" w:eastAsia="zh-CN"/>
        </w:rPr>
        <w:t>n</w:t>
      </w:r>
      <w:r w:rsidRPr="004C6D68">
        <w:rPr>
          <w:b/>
          <w:lang w:val="en-GB" w:eastAsia="zh-CN"/>
        </w:rPr>
        <w:t>*7, n*14 symbols</w:t>
      </w:r>
      <w:r>
        <w:rPr>
          <w:b/>
          <w:lang w:val="en-GB" w:eastAsia="zh-CN"/>
        </w:rPr>
        <w:t xml:space="preserve"> with finer granularity of n in the lower range compared to Rel-15.</w:t>
      </w:r>
    </w:p>
    <w:p w:rsidR="000753F3" w:rsidRDefault="000753F3" w:rsidP="000753F3">
      <w:pPr>
        <w:pStyle w:val="1"/>
        <w:jc w:val="both"/>
      </w:pPr>
      <w:r>
        <w:rPr>
          <w:rFonts w:hint="eastAsia"/>
        </w:rPr>
        <w:t>Reference</w:t>
      </w:r>
    </w:p>
    <w:p w:rsidR="00C72F87" w:rsidRDefault="00C72F87" w:rsidP="00C72F87">
      <w:pPr>
        <w:pStyle w:val="a0"/>
        <w:numPr>
          <w:ilvl w:val="0"/>
          <w:numId w:val="7"/>
        </w:numPr>
      </w:pPr>
      <w:bookmarkStart w:id="10" w:name="_Ref516745796"/>
      <w:bookmarkStart w:id="11" w:name="_Ref520366874"/>
      <w:bookmarkStart w:id="12" w:name="_Ref513539344"/>
      <w:bookmarkStart w:id="13" w:name="_Ref3879359"/>
      <w:r>
        <w:t>TR 38.825</w:t>
      </w:r>
      <w:r w:rsidRPr="002A586A">
        <w:rPr>
          <w:rFonts w:eastAsiaTheme="minorEastAsia" w:hint="eastAsia"/>
          <w:lang w:eastAsia="zh-CN"/>
        </w:rPr>
        <w:t xml:space="preserve">, </w:t>
      </w:r>
      <w:r>
        <w:rPr>
          <w:rFonts w:eastAsiaTheme="minorEastAsia"/>
          <w:lang w:eastAsia="zh-CN"/>
        </w:rPr>
        <w:t xml:space="preserve">V0.2.0, </w:t>
      </w:r>
      <w:r w:rsidRPr="002A586A">
        <w:t>Study on NR Industrial Internet of Things (</w:t>
      </w:r>
      <w:proofErr w:type="spellStart"/>
      <w:r w:rsidRPr="002A586A">
        <w:t>IoT</w:t>
      </w:r>
      <w:proofErr w:type="spellEnd"/>
      <w:r w:rsidRPr="002A586A">
        <w:t>)</w:t>
      </w:r>
      <w:bookmarkEnd w:id="10"/>
      <w:bookmarkEnd w:id="11"/>
      <w:bookmarkEnd w:id="12"/>
      <w:r>
        <w:t>, Release 16</w:t>
      </w:r>
      <w:bookmarkEnd w:id="13"/>
    </w:p>
    <w:p w:rsidR="00C72F87" w:rsidRDefault="00C72F87" w:rsidP="00C72F87">
      <w:pPr>
        <w:pStyle w:val="a0"/>
        <w:numPr>
          <w:ilvl w:val="0"/>
          <w:numId w:val="7"/>
        </w:numPr>
      </w:pPr>
      <w:bookmarkStart w:id="14" w:name="_Ref4691031"/>
      <w:r>
        <w:t xml:space="preserve">TS 38.331 V15.4.0, </w:t>
      </w:r>
      <w:r>
        <w:rPr>
          <w:rFonts w:eastAsiaTheme="minorEastAsia"/>
          <w:lang w:eastAsia="zh-CN"/>
        </w:rPr>
        <w:t xml:space="preserve">“NR; </w:t>
      </w:r>
      <w:r w:rsidRPr="00D0452D">
        <w:t>Radio Resource Control (RRC</w:t>
      </w:r>
      <w:r>
        <w:t>); Protocol specification (Release 15)</w:t>
      </w:r>
      <w:r>
        <w:rPr>
          <w:rFonts w:eastAsiaTheme="minorEastAsia"/>
          <w:lang w:eastAsia="zh-CN"/>
        </w:rPr>
        <w:t>”</w:t>
      </w:r>
      <w:bookmarkEnd w:id="14"/>
    </w:p>
    <w:p w:rsidR="006C1E01" w:rsidRPr="00E5593A" w:rsidRDefault="00C72F87" w:rsidP="00E5593A">
      <w:pPr>
        <w:pStyle w:val="a0"/>
        <w:numPr>
          <w:ilvl w:val="0"/>
          <w:numId w:val="7"/>
        </w:numPr>
      </w:pPr>
      <w:bookmarkStart w:id="15" w:name="_Ref4491468"/>
      <w:r>
        <w:rPr>
          <w:rFonts w:eastAsiaTheme="minorEastAsia"/>
          <w:lang w:eastAsia="zh-CN"/>
        </w:rPr>
        <w:t>TS 22.104 V16.0.0 “</w:t>
      </w:r>
      <w:r w:rsidRPr="00C87F26">
        <w:rPr>
          <w:rFonts w:eastAsia="宋体"/>
        </w:rPr>
        <w:t>Service requirements for cyber-physical control applications in vertical domains</w:t>
      </w:r>
      <w:r>
        <w:rPr>
          <w:rFonts w:eastAsia="宋体"/>
        </w:rPr>
        <w:t>; Stage 1 (Release 16)</w:t>
      </w:r>
      <w:r>
        <w:rPr>
          <w:rFonts w:eastAsiaTheme="minorEastAsia"/>
          <w:lang w:eastAsia="zh-CN"/>
        </w:rPr>
        <w:t>”; 3GPP</w:t>
      </w:r>
      <w:bookmarkEnd w:id="15"/>
    </w:p>
    <w:sectPr w:rsidR="006C1E01" w:rsidRPr="00E5593A" w:rsidSect="00796469">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2F5" w:rsidRDefault="003C42F5">
      <w:r>
        <w:separator/>
      </w:r>
    </w:p>
  </w:endnote>
  <w:endnote w:type="continuationSeparator" w:id="0">
    <w:p w:rsidR="003C42F5" w:rsidRDefault="003C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384DF0">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280E33" w:rsidRPr="00D2528A">
      <w:rPr>
        <w:rFonts w:eastAsia="宋体"/>
        <w:lang w:eastAsia="zh-CN"/>
      </w:rPr>
      <w:t>1</w:t>
    </w:r>
    <w:r w:rsidR="00280E33">
      <w:rPr>
        <w:rFonts w:eastAsia="宋体"/>
        <w:lang w:eastAsia="zh-CN"/>
      </w:rPr>
      <w:t>90</w:t>
    </w:r>
    <w:r w:rsidR="00E303F7">
      <w:rPr>
        <w:rFonts w:eastAsia="宋体" w:hint="eastAsia"/>
        <w:lang w:eastAsia="zh-CN"/>
      </w:rPr>
      <w:t>31</w:t>
    </w:r>
    <w:r w:rsidR="00E303F7">
      <w:rPr>
        <w:rFonts w:eastAsia="宋体"/>
        <w:lang w:eastAsia="zh-CN"/>
      </w:rPr>
      <w:t>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2F5" w:rsidRDefault="003C42F5">
      <w:r>
        <w:separator/>
      </w:r>
    </w:p>
  </w:footnote>
  <w:footnote w:type="continuationSeparator" w:id="0">
    <w:p w:rsidR="003C42F5" w:rsidRDefault="003C4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FD7609A"/>
    <w:multiLevelType w:val="hybridMultilevel"/>
    <w:tmpl w:val="BF083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9711FE"/>
    <w:multiLevelType w:val="hybridMultilevel"/>
    <w:tmpl w:val="F51CE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12"/>
  </w:num>
  <w:num w:numId="4">
    <w:abstractNumId w:val="9"/>
  </w:num>
  <w:num w:numId="5">
    <w:abstractNumId w:val="23"/>
  </w:num>
  <w:num w:numId="6">
    <w:abstractNumId w:val="17"/>
  </w:num>
  <w:num w:numId="7">
    <w:abstractNumId w:val="13"/>
  </w:num>
  <w:num w:numId="8">
    <w:abstractNumId w:val="2"/>
  </w:num>
  <w:num w:numId="9">
    <w:abstractNumId w:val="22"/>
  </w:num>
  <w:num w:numId="10">
    <w:abstractNumId w:val="11"/>
  </w:num>
  <w:num w:numId="11">
    <w:abstractNumId w:val="0"/>
  </w:num>
  <w:num w:numId="12">
    <w:abstractNumId w:val="19"/>
  </w:num>
  <w:num w:numId="13">
    <w:abstractNumId w:val="5"/>
  </w:num>
  <w:num w:numId="14">
    <w:abstractNumId w:val="7"/>
  </w:num>
  <w:num w:numId="15">
    <w:abstractNumId w:val="10"/>
  </w:num>
  <w:num w:numId="16">
    <w:abstractNumId w:val="6"/>
  </w:num>
  <w:num w:numId="17">
    <w:abstractNumId w:val="15"/>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 w:numId="22">
    <w:abstractNumId w:val="1"/>
  </w:num>
  <w:num w:numId="23">
    <w:abstractNumId w:val="4"/>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18F7"/>
    <w:rsid w:val="00012F65"/>
    <w:rsid w:val="000135B7"/>
    <w:rsid w:val="00013A2D"/>
    <w:rsid w:val="0001438C"/>
    <w:rsid w:val="000147AB"/>
    <w:rsid w:val="000155D8"/>
    <w:rsid w:val="00016121"/>
    <w:rsid w:val="00016AC6"/>
    <w:rsid w:val="00016CFA"/>
    <w:rsid w:val="00016D97"/>
    <w:rsid w:val="00016FE1"/>
    <w:rsid w:val="0001742C"/>
    <w:rsid w:val="00017718"/>
    <w:rsid w:val="00020773"/>
    <w:rsid w:val="0002102E"/>
    <w:rsid w:val="0002139B"/>
    <w:rsid w:val="0002195F"/>
    <w:rsid w:val="00022738"/>
    <w:rsid w:val="00022FB2"/>
    <w:rsid w:val="0002406C"/>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6FB"/>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13CB"/>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3F3"/>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A6FE8"/>
    <w:rsid w:val="000A74D4"/>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D2"/>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78A"/>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0C6C"/>
    <w:rsid w:val="001318F6"/>
    <w:rsid w:val="00131C3F"/>
    <w:rsid w:val="0013215E"/>
    <w:rsid w:val="00133013"/>
    <w:rsid w:val="0013363D"/>
    <w:rsid w:val="00134DE3"/>
    <w:rsid w:val="00136678"/>
    <w:rsid w:val="001371FD"/>
    <w:rsid w:val="00137349"/>
    <w:rsid w:val="001378A7"/>
    <w:rsid w:val="00137A2F"/>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1E87"/>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02CD"/>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B86"/>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A49"/>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E33"/>
    <w:rsid w:val="00281791"/>
    <w:rsid w:val="002838FA"/>
    <w:rsid w:val="00286574"/>
    <w:rsid w:val="002870B3"/>
    <w:rsid w:val="002911A8"/>
    <w:rsid w:val="00291F06"/>
    <w:rsid w:val="002921FD"/>
    <w:rsid w:val="00292717"/>
    <w:rsid w:val="00292FFC"/>
    <w:rsid w:val="002935D4"/>
    <w:rsid w:val="00294534"/>
    <w:rsid w:val="002950E5"/>
    <w:rsid w:val="00295AA0"/>
    <w:rsid w:val="00295F92"/>
    <w:rsid w:val="00296892"/>
    <w:rsid w:val="00297474"/>
    <w:rsid w:val="00297960"/>
    <w:rsid w:val="002A02F1"/>
    <w:rsid w:val="002A1CAD"/>
    <w:rsid w:val="002A369D"/>
    <w:rsid w:val="002A50CB"/>
    <w:rsid w:val="002A5580"/>
    <w:rsid w:val="002A586A"/>
    <w:rsid w:val="002A5C7B"/>
    <w:rsid w:val="002A668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1B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94"/>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5F3"/>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4DF0"/>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2F5"/>
    <w:rsid w:val="003C4E77"/>
    <w:rsid w:val="003C5336"/>
    <w:rsid w:val="003C58C4"/>
    <w:rsid w:val="003C5C5C"/>
    <w:rsid w:val="003C5ECB"/>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AB"/>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1CF"/>
    <w:rsid w:val="004459DC"/>
    <w:rsid w:val="00445FD6"/>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040"/>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3BF"/>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119F"/>
    <w:rsid w:val="00583755"/>
    <w:rsid w:val="00585598"/>
    <w:rsid w:val="005860CF"/>
    <w:rsid w:val="00586587"/>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4EC0"/>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97994"/>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1E01"/>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323E"/>
    <w:rsid w:val="006E543C"/>
    <w:rsid w:val="006E659A"/>
    <w:rsid w:val="006E67EE"/>
    <w:rsid w:val="006F0510"/>
    <w:rsid w:val="006F12CE"/>
    <w:rsid w:val="006F1E59"/>
    <w:rsid w:val="006F209C"/>
    <w:rsid w:val="006F2283"/>
    <w:rsid w:val="006F2969"/>
    <w:rsid w:val="006F464A"/>
    <w:rsid w:val="006F4DAB"/>
    <w:rsid w:val="006F5066"/>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08BD"/>
    <w:rsid w:val="0072118B"/>
    <w:rsid w:val="00721B42"/>
    <w:rsid w:val="0072304C"/>
    <w:rsid w:val="007235E4"/>
    <w:rsid w:val="0072467C"/>
    <w:rsid w:val="00724B18"/>
    <w:rsid w:val="00726AF6"/>
    <w:rsid w:val="00727705"/>
    <w:rsid w:val="00727972"/>
    <w:rsid w:val="00730802"/>
    <w:rsid w:val="00730B33"/>
    <w:rsid w:val="00730BFA"/>
    <w:rsid w:val="007329AF"/>
    <w:rsid w:val="00734D12"/>
    <w:rsid w:val="00735AF5"/>
    <w:rsid w:val="007368C4"/>
    <w:rsid w:val="00736DE8"/>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A92"/>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7FE"/>
    <w:rsid w:val="00793E7F"/>
    <w:rsid w:val="007945F0"/>
    <w:rsid w:val="00794661"/>
    <w:rsid w:val="00796469"/>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E79"/>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17C9D"/>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04F"/>
    <w:rsid w:val="00841C1F"/>
    <w:rsid w:val="00842243"/>
    <w:rsid w:val="00842AAA"/>
    <w:rsid w:val="00842BCC"/>
    <w:rsid w:val="008436DD"/>
    <w:rsid w:val="00843714"/>
    <w:rsid w:val="00843F3F"/>
    <w:rsid w:val="00844251"/>
    <w:rsid w:val="0084548C"/>
    <w:rsid w:val="0084564D"/>
    <w:rsid w:val="008456A7"/>
    <w:rsid w:val="00845E32"/>
    <w:rsid w:val="00846EA8"/>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3FB9"/>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634"/>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97ED1"/>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5B3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20B"/>
    <w:rsid w:val="00A5749E"/>
    <w:rsid w:val="00A601ED"/>
    <w:rsid w:val="00A617D2"/>
    <w:rsid w:val="00A62C75"/>
    <w:rsid w:val="00A62FF0"/>
    <w:rsid w:val="00A63CCE"/>
    <w:rsid w:val="00A643AE"/>
    <w:rsid w:val="00A648E8"/>
    <w:rsid w:val="00A65200"/>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AF6"/>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752"/>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3B3C"/>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D12"/>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8D4"/>
    <w:rsid w:val="00BD0A75"/>
    <w:rsid w:val="00BD1924"/>
    <w:rsid w:val="00BD234A"/>
    <w:rsid w:val="00BD2417"/>
    <w:rsid w:val="00BD3620"/>
    <w:rsid w:val="00BD388A"/>
    <w:rsid w:val="00BD62AF"/>
    <w:rsid w:val="00BD65A5"/>
    <w:rsid w:val="00BD67AF"/>
    <w:rsid w:val="00BD67E5"/>
    <w:rsid w:val="00BD68F0"/>
    <w:rsid w:val="00BD6C56"/>
    <w:rsid w:val="00BD6EDE"/>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0BC5"/>
    <w:rsid w:val="00C21627"/>
    <w:rsid w:val="00C22348"/>
    <w:rsid w:val="00C22AE7"/>
    <w:rsid w:val="00C243AF"/>
    <w:rsid w:val="00C24CF3"/>
    <w:rsid w:val="00C24D4A"/>
    <w:rsid w:val="00C257ED"/>
    <w:rsid w:val="00C26A16"/>
    <w:rsid w:val="00C276A9"/>
    <w:rsid w:val="00C27766"/>
    <w:rsid w:val="00C27AEA"/>
    <w:rsid w:val="00C30734"/>
    <w:rsid w:val="00C30B28"/>
    <w:rsid w:val="00C317F9"/>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2792"/>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F87"/>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6D90"/>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A8A"/>
    <w:rsid w:val="00CA6BFB"/>
    <w:rsid w:val="00CB1A44"/>
    <w:rsid w:val="00CB1B9E"/>
    <w:rsid w:val="00CB287A"/>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747"/>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04"/>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3CAF"/>
    <w:rsid w:val="00E04DF6"/>
    <w:rsid w:val="00E0601A"/>
    <w:rsid w:val="00E06E2C"/>
    <w:rsid w:val="00E071A6"/>
    <w:rsid w:val="00E074FA"/>
    <w:rsid w:val="00E07A1E"/>
    <w:rsid w:val="00E07B58"/>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3F7"/>
    <w:rsid w:val="00E3061D"/>
    <w:rsid w:val="00E30D0A"/>
    <w:rsid w:val="00E3143A"/>
    <w:rsid w:val="00E31B0C"/>
    <w:rsid w:val="00E31C07"/>
    <w:rsid w:val="00E320A7"/>
    <w:rsid w:val="00E32F77"/>
    <w:rsid w:val="00E33EB0"/>
    <w:rsid w:val="00E363E8"/>
    <w:rsid w:val="00E36734"/>
    <w:rsid w:val="00E367E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93A"/>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0EBD"/>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527E"/>
    <w:rsid w:val="00EA757B"/>
    <w:rsid w:val="00EA77D9"/>
    <w:rsid w:val="00EA7981"/>
    <w:rsid w:val="00EA7AF6"/>
    <w:rsid w:val="00EA7AFC"/>
    <w:rsid w:val="00EB054A"/>
    <w:rsid w:val="00EB08A4"/>
    <w:rsid w:val="00EB0D96"/>
    <w:rsid w:val="00EB1317"/>
    <w:rsid w:val="00EB2305"/>
    <w:rsid w:val="00EB27D5"/>
    <w:rsid w:val="00EB2C0C"/>
    <w:rsid w:val="00EB3CB0"/>
    <w:rsid w:val="00EB4042"/>
    <w:rsid w:val="00EB4A95"/>
    <w:rsid w:val="00EB4E49"/>
    <w:rsid w:val="00EB5081"/>
    <w:rsid w:val="00EB54A0"/>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A3A"/>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5F38"/>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2FC5"/>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47BF"/>
    <w:rsid w:val="00F5673F"/>
    <w:rsid w:val="00F567FF"/>
    <w:rsid w:val="00F56861"/>
    <w:rsid w:val="00F56AF9"/>
    <w:rsid w:val="00F56DEF"/>
    <w:rsid w:val="00F600D3"/>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641"/>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6BC0"/>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689"/>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BD08D4"/>
  </w:style>
  <w:style w:type="paragraph" w:customStyle="1" w:styleId="TAN">
    <w:name w:val="TAN"/>
    <w:basedOn w:val="TAL"/>
    <w:rsid w:val="00E07B58"/>
    <w:pPr>
      <w:ind w:left="851" w:hanging="85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BD08D4"/>
  </w:style>
  <w:style w:type="paragraph" w:customStyle="1" w:styleId="TAN">
    <w:name w:val="TAN"/>
    <w:basedOn w:val="TAL"/>
    <w:rsid w:val="00E07B58"/>
    <w:pPr>
      <w:ind w:left="851"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67856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120195">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317033">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7496807">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EFECE-DCA5-4CC5-84F3-894DD8312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2019-03-28T16:59:00Z</dcterms:created>
  <dcterms:modified xsi:type="dcterms:W3CDTF">2019-03-29T03:43:00Z</dcterms:modified>
</cp:coreProperties>
</file>